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大标宋简体" w:cs="Times New Roman"/>
          <w:b w:val="0"/>
          <w:bCs/>
          <w:color w:val="auto"/>
          <w:sz w:val="44"/>
          <w:szCs w:val="44"/>
        </w:rPr>
      </w:pPr>
      <w:r>
        <w:rPr>
          <w:rFonts w:hint="default" w:ascii="Times New Roman" w:hAnsi="Times New Roman" w:eastAsia="方正大标宋简体" w:cs="Times New Roman"/>
          <w:b w:val="0"/>
          <w:bCs/>
          <w:color w:val="auto"/>
          <w:sz w:val="44"/>
          <w:szCs w:val="44"/>
          <w:lang w:val="en-US" w:eastAsia="zh-CN"/>
        </w:rPr>
        <w:t>太仓市医疗保障局</w:t>
      </w:r>
      <w:r>
        <w:rPr>
          <w:rFonts w:hint="default" w:ascii="Times New Roman" w:hAnsi="Times New Roman" w:eastAsia="方正大标宋简体" w:cs="Times New Roman"/>
          <w:b w:val="0"/>
          <w:bCs/>
          <w:color w:val="auto"/>
          <w:sz w:val="44"/>
          <w:szCs w:val="44"/>
        </w:rPr>
        <w:t>20</w:t>
      </w:r>
      <w:r>
        <w:rPr>
          <w:rFonts w:hint="default" w:ascii="Times New Roman" w:hAnsi="Times New Roman" w:eastAsia="方正大标宋简体" w:cs="Times New Roman"/>
          <w:b w:val="0"/>
          <w:bCs/>
          <w:color w:val="auto"/>
          <w:sz w:val="44"/>
          <w:szCs w:val="44"/>
          <w:lang w:val="en-US" w:eastAsia="zh-CN"/>
        </w:rPr>
        <w:t>22</w:t>
      </w:r>
      <w:r>
        <w:rPr>
          <w:rFonts w:hint="default" w:ascii="Times New Roman" w:hAnsi="Times New Roman" w:eastAsia="方正大标宋简体" w:cs="Times New Roman"/>
          <w:b w:val="0"/>
          <w:bCs/>
          <w:color w:val="auto"/>
          <w:sz w:val="44"/>
          <w:szCs w:val="44"/>
        </w:rPr>
        <w:t>年政府信息公开</w:t>
      </w:r>
    </w:p>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b w:val="0"/>
          <w:bCs/>
          <w:color w:val="auto"/>
          <w:sz w:val="32"/>
          <w:szCs w:val="32"/>
        </w:rPr>
      </w:pPr>
      <w:r>
        <w:rPr>
          <w:rFonts w:hint="default" w:ascii="Times New Roman" w:hAnsi="Times New Roman" w:eastAsia="方正大标宋简体" w:cs="Times New Roman"/>
          <w:b w:val="0"/>
          <w:bCs/>
          <w:color w:val="auto"/>
          <w:sz w:val="44"/>
          <w:szCs w:val="44"/>
        </w:rPr>
        <w:t>工作年度报告</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640" w:firstLineChars="200"/>
        <w:jc w:val="left"/>
        <w:textAlignment w:val="auto"/>
        <w:rPr>
          <w:rFonts w:hint="default" w:ascii="Times New Roman" w:hAnsi="Times New Roman" w:eastAsia="黑体" w:cs="Times New Roman"/>
          <w:b w:val="0"/>
          <w:bCs/>
          <w:color w:val="auto"/>
          <w:sz w:val="32"/>
          <w:szCs w:val="32"/>
          <w:lang w:eastAsia="zh-CN"/>
        </w:rPr>
      </w:pPr>
      <w:r>
        <w:rPr>
          <w:rFonts w:hint="default" w:ascii="Times New Roman" w:hAnsi="Times New Roman" w:eastAsia="黑体" w:cs="Times New Roman"/>
          <w:b w:val="0"/>
          <w:bCs/>
          <w:color w:val="auto"/>
          <w:sz w:val="32"/>
          <w:szCs w:val="32"/>
          <w:lang w:eastAsia="zh-CN"/>
        </w:rPr>
        <w:t>一、总体情况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根据《中华人民共和国政府信息公开条例》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以下简称《条例》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规定和</w:t>
      </w:r>
      <w:r>
        <w:rPr>
          <w:rFonts w:hint="default" w:ascii="Times New Roman" w:hAnsi="Times New Roman" w:eastAsia="仿宋_GB2312" w:cs="Times New Roman"/>
          <w:sz w:val="32"/>
          <w:szCs w:val="32"/>
          <w:lang w:val="en-US" w:eastAsia="zh-CN"/>
        </w:rPr>
        <w:t>太仓</w:t>
      </w:r>
      <w:r>
        <w:rPr>
          <w:rFonts w:hint="default" w:ascii="Times New Roman" w:hAnsi="Times New Roman" w:eastAsia="仿宋_GB2312" w:cs="Times New Roman"/>
          <w:sz w:val="32"/>
          <w:szCs w:val="32"/>
        </w:rPr>
        <w:t>市人民政府办公室《关于做好202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年政府信息公开工作年度报告编制发布工作的通知》要求，太仓市</w:t>
      </w:r>
      <w:r>
        <w:rPr>
          <w:rFonts w:hint="default" w:ascii="Times New Roman" w:hAnsi="Times New Roman" w:eastAsia="仿宋_GB2312" w:cs="Times New Roman"/>
          <w:sz w:val="32"/>
          <w:szCs w:val="32"/>
          <w:lang w:val="en-US" w:eastAsia="zh-CN"/>
        </w:rPr>
        <w:t>医疗保障局</w:t>
      </w:r>
      <w:r>
        <w:rPr>
          <w:rFonts w:hint="default" w:ascii="Times New Roman" w:hAnsi="Times New Roman" w:eastAsia="仿宋_GB2312" w:cs="Times New Roman"/>
          <w:sz w:val="32"/>
          <w:szCs w:val="32"/>
        </w:rPr>
        <w:t>编制本年报。本年报所列数据的统计期限自202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年1月1日起至202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年12月31日止。如对年报有任何疑问，请与</w:t>
      </w:r>
      <w:r>
        <w:rPr>
          <w:rFonts w:hint="default" w:ascii="Times New Roman" w:hAnsi="Times New Roman" w:eastAsia="仿宋_GB2312" w:cs="Times New Roman"/>
          <w:sz w:val="32"/>
          <w:szCs w:val="32"/>
          <w:lang w:val="en-US" w:eastAsia="zh-CN"/>
        </w:rPr>
        <w:t>太仓市医疗保障局办公室</w:t>
      </w:r>
      <w:r>
        <w:rPr>
          <w:rFonts w:hint="default" w:ascii="Times New Roman" w:hAnsi="Times New Roman" w:eastAsia="仿宋_GB2312" w:cs="Times New Roman"/>
          <w:sz w:val="32"/>
          <w:szCs w:val="32"/>
        </w:rPr>
        <w:t>联系（地址：</w:t>
      </w:r>
      <w:r>
        <w:rPr>
          <w:rFonts w:hint="default" w:ascii="Times New Roman" w:hAnsi="Times New Roman" w:eastAsia="仿宋_GB2312" w:cs="Times New Roman"/>
          <w:sz w:val="32"/>
          <w:szCs w:val="32"/>
          <w:lang w:val="en-US" w:eastAsia="zh-CN"/>
        </w:rPr>
        <w:t>太仓市十八港路29号</w:t>
      </w:r>
      <w:r>
        <w:rPr>
          <w:rFonts w:hint="default" w:ascii="Times New Roman" w:hAnsi="Times New Roman" w:eastAsia="仿宋_GB2312" w:cs="Times New Roman"/>
          <w:sz w:val="32"/>
          <w:szCs w:val="32"/>
        </w:rPr>
        <w:t>，邮编：2154</w:t>
      </w: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，电话0512-</w:t>
      </w:r>
      <w:r>
        <w:rPr>
          <w:rFonts w:hint="default" w:ascii="Times New Roman" w:hAnsi="Times New Roman" w:eastAsia="仿宋_GB2312" w:cs="Times New Roman"/>
          <w:sz w:val="32"/>
          <w:szCs w:val="32"/>
          <w:lang w:val="en-US" w:eastAsia="zh-CN"/>
        </w:rPr>
        <w:t>53520379</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sz w:val="32"/>
          <w:szCs w:val="32"/>
          <w:lang w:val="en-US" w:eastAsia="zh-CN"/>
        </w:rPr>
        <w:t>2022年，太仓</w:t>
      </w:r>
      <w:r>
        <w:rPr>
          <w:rFonts w:hint="default" w:ascii="Times New Roman" w:hAnsi="Times New Roman" w:eastAsia="仿宋_GB2312" w:cs="Times New Roman"/>
          <w:sz w:val="32"/>
          <w:szCs w:val="32"/>
        </w:rPr>
        <w:t>市</w:t>
      </w:r>
      <w:r>
        <w:rPr>
          <w:rFonts w:hint="default" w:ascii="Times New Roman" w:hAnsi="Times New Roman" w:eastAsia="仿宋_GB2312" w:cs="Times New Roman"/>
          <w:sz w:val="32"/>
          <w:szCs w:val="32"/>
          <w:lang w:val="en-US" w:eastAsia="zh-CN"/>
        </w:rPr>
        <w:t>医疗保障</w:t>
      </w:r>
      <w:r>
        <w:rPr>
          <w:rFonts w:hint="default" w:ascii="Times New Roman" w:hAnsi="Times New Roman" w:eastAsia="仿宋_GB2312" w:cs="Times New Roman"/>
          <w:sz w:val="32"/>
          <w:szCs w:val="32"/>
        </w:rPr>
        <w:t>局深入贯彻落实《202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年政务公开工作要点》等决策部署，</w:t>
      </w:r>
      <w:r>
        <w:rPr>
          <w:rFonts w:hint="default" w:ascii="Times New Roman" w:hAnsi="Times New Roman" w:eastAsia="仿宋_GB2312" w:cs="Times New Roman"/>
          <w:b w:val="0"/>
          <w:bCs/>
          <w:color w:val="auto"/>
          <w:sz w:val="32"/>
          <w:szCs w:val="32"/>
          <w:lang w:val="en-US" w:eastAsia="zh-CN"/>
        </w:rPr>
        <w:t>积极做好政府信息主动公开工作。</w:t>
      </w:r>
      <w:r>
        <w:rPr>
          <w:rFonts w:hint="default" w:ascii="Times New Roman" w:hAnsi="Times New Roman" w:eastAsia="仿宋_GB2312" w:cs="Times New Roman"/>
          <w:b w:val="0"/>
          <w:bCs/>
          <w:color w:val="auto"/>
          <w:sz w:val="32"/>
          <w:szCs w:val="32"/>
          <w:lang w:val="en-US" w:eastAsia="zh-CN"/>
        </w:rPr>
        <w:t>及时</w:t>
      </w:r>
      <w:r>
        <w:rPr>
          <w:rFonts w:hint="default" w:ascii="Times New Roman" w:hAnsi="Times New Roman" w:eastAsia="仿宋_GB2312" w:cs="Times New Roman"/>
          <w:b w:val="0"/>
          <w:bCs/>
          <w:color w:val="auto"/>
          <w:sz w:val="32"/>
          <w:szCs w:val="32"/>
          <w:lang w:eastAsia="zh-CN"/>
        </w:rPr>
        <w:t>做好相关栏目政务信息发布，强化政府信息公开力度，</w:t>
      </w:r>
      <w:r>
        <w:rPr>
          <w:rFonts w:hint="default" w:ascii="Times New Roman" w:hAnsi="Times New Roman" w:eastAsia="仿宋_GB2312" w:cs="Times New Roman"/>
          <w:b w:val="0"/>
          <w:bCs/>
          <w:color w:val="auto"/>
          <w:sz w:val="32"/>
          <w:szCs w:val="32"/>
          <w:lang w:val="en-US" w:eastAsia="zh-CN"/>
        </w:rPr>
        <w:t>推动政府信息公开工作不断向规范化方向发展，更好地服务于全市</w:t>
      </w:r>
      <w:r>
        <w:rPr>
          <w:rFonts w:hint="default" w:ascii="Times New Roman" w:hAnsi="Times New Roman" w:eastAsia="仿宋_GB2312" w:cs="Times New Roman"/>
          <w:b w:val="0"/>
          <w:bCs/>
          <w:color w:val="auto"/>
          <w:sz w:val="32"/>
          <w:szCs w:val="32"/>
          <w:lang w:val="en-US" w:eastAsia="zh-CN"/>
        </w:rPr>
        <w:t>医疗保障事业发展</w:t>
      </w:r>
      <w:r>
        <w:rPr>
          <w:rFonts w:hint="default" w:ascii="Times New Roman" w:hAnsi="Times New Roman" w:eastAsia="仿宋_GB2312" w:cs="Times New Roman"/>
          <w:b w:val="0"/>
          <w:bCs/>
          <w:color w:val="auto"/>
          <w:sz w:val="32"/>
          <w:szCs w:val="32"/>
          <w:lang w:val="en-US" w:eastAsia="zh-CN"/>
        </w:rPr>
        <w:t>和政府自身建设。全年未发生因信息公开导致的行政复议和行政诉讼案件。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 w:val="0"/>
          <w:bCs/>
          <w:color w:val="auto"/>
          <w:sz w:val="32"/>
          <w:szCs w:val="32"/>
          <w:lang w:eastAsia="zh-CN"/>
        </w:rPr>
      </w:pPr>
      <w:r>
        <w:rPr>
          <w:rFonts w:hint="default" w:ascii="Times New Roman" w:hAnsi="Times New Roman" w:eastAsia="黑体" w:cs="Times New Roman"/>
          <w:b w:val="0"/>
          <w:bCs/>
          <w:color w:val="auto"/>
          <w:sz w:val="32"/>
          <w:szCs w:val="32"/>
          <w:lang w:val="en-US" w:eastAsia="zh-CN"/>
        </w:rPr>
        <w:t>二、</w:t>
      </w:r>
      <w:r>
        <w:rPr>
          <w:rFonts w:hint="default" w:ascii="Times New Roman" w:hAnsi="Times New Roman" w:eastAsia="黑体" w:cs="Times New Roman"/>
          <w:b w:val="0"/>
          <w:bCs/>
          <w:color w:val="auto"/>
          <w:sz w:val="32"/>
          <w:szCs w:val="32"/>
          <w:lang w:eastAsia="zh-CN"/>
        </w:rPr>
        <w:t>主动公开政府信息情况</w:t>
      </w:r>
    </w:p>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Layout w:type="autofit"/>
        <w:tblCellMar>
          <w:top w:w="45" w:type="dxa"/>
          <w:left w:w="0" w:type="dxa"/>
          <w:bottom w:w="0" w:type="dxa"/>
          <w:right w:w="0" w:type="dxa"/>
        </w:tblCellMar>
      </w:tblPr>
      <w:tblGrid>
        <w:gridCol w:w="2530"/>
        <w:gridCol w:w="2180"/>
        <w:gridCol w:w="2180"/>
        <w:gridCol w:w="2193"/>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395"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第二十条第（一）项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578"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信息内容</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本年</w:t>
            </w:r>
            <w:r>
              <w:rPr>
                <w:rFonts w:hint="default" w:ascii="Times New Roman" w:hAnsi="Times New Roman" w:eastAsia="宋体" w:cs="Times New Roman"/>
                <w:i w:val="0"/>
                <w:iCs w:val="0"/>
                <w:caps w:val="0"/>
                <w:color w:val="333333"/>
                <w:spacing w:val="0"/>
                <w:kern w:val="0"/>
                <w:sz w:val="20"/>
                <w:szCs w:val="20"/>
                <w:lang w:val="en-US" w:eastAsia="zh-CN" w:bidi="ar"/>
              </w:rPr>
              <w:t>制发件数</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本年废止件数</w:t>
            </w:r>
          </w:p>
        </w:tc>
        <w:tc>
          <w:tcPr>
            <w:tcW w:w="1204"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现行有效件</w:t>
            </w:r>
            <w:r>
              <w:rPr>
                <w:rFonts w:hint="default" w:ascii="Times New Roman" w:hAnsi="Times New Roman" w:eastAsia="宋体" w:cs="Times New Roman"/>
                <w:i w:val="0"/>
                <w:iCs w:val="0"/>
                <w:caps w:val="0"/>
                <w:color w:val="333333"/>
                <w:spacing w:val="0"/>
                <w:kern w:val="0"/>
                <w:sz w:val="20"/>
                <w:szCs w:val="20"/>
                <w:lang w:val="en-US" w:eastAsia="zh-CN" w:bidi="ar"/>
              </w:rPr>
              <w:t>数</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502"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规章</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微软雅黑" w:cs="Times New Roman"/>
                <w:i w:val="0"/>
                <w:iCs w:val="0"/>
                <w:caps w:val="0"/>
                <w:color w:val="000000"/>
                <w:spacing w:val="0"/>
                <w:kern w:val="0"/>
                <w:sz w:val="20"/>
                <w:szCs w:val="20"/>
                <w:lang w:val="en-US" w:eastAsia="zh-CN" w:bidi="ar"/>
              </w:rPr>
              <w:t>0</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微软雅黑" w:cs="Times New Roman"/>
                <w:i w:val="0"/>
                <w:iCs w:val="0"/>
                <w:caps w:val="0"/>
                <w:color w:val="000000"/>
                <w:spacing w:val="0"/>
                <w:kern w:val="0"/>
                <w:sz w:val="20"/>
                <w:szCs w:val="20"/>
                <w:lang w:val="en-US" w:eastAsia="zh-CN" w:bidi="ar"/>
              </w:rPr>
              <w:t>0</w:t>
            </w:r>
          </w:p>
        </w:tc>
        <w:tc>
          <w:tcPr>
            <w:tcW w:w="1204"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微软雅黑" w:cs="Times New Roman"/>
                <w:i w:val="0"/>
                <w:iCs w:val="0"/>
                <w:caps w:val="0"/>
                <w:color w:val="333333"/>
                <w:spacing w:val="0"/>
                <w:kern w:val="0"/>
                <w:sz w:val="21"/>
                <w:szCs w:val="21"/>
                <w:lang w:val="en-US" w:eastAsia="zh-CN" w:bidi="ar"/>
              </w:rPr>
              <w:t>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52"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行政规范性文件</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微软雅黑" w:cs="Times New Roman"/>
                <w:i w:val="0"/>
                <w:iCs w:val="0"/>
                <w:caps w:val="0"/>
                <w:color w:val="000000"/>
                <w:spacing w:val="0"/>
                <w:kern w:val="0"/>
                <w:sz w:val="20"/>
                <w:szCs w:val="20"/>
                <w:lang w:val="en-US" w:eastAsia="zh-CN" w:bidi="ar"/>
              </w:rPr>
              <w:t>0</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微软雅黑" w:cs="Times New Roman"/>
                <w:i w:val="0"/>
                <w:iCs w:val="0"/>
                <w:caps w:val="0"/>
                <w:color w:val="333333"/>
                <w:spacing w:val="0"/>
                <w:kern w:val="0"/>
                <w:sz w:val="24"/>
                <w:szCs w:val="24"/>
                <w:lang w:val="en-US" w:eastAsia="zh-CN" w:bidi="ar"/>
              </w:rPr>
              <w:t>1</w:t>
            </w:r>
          </w:p>
        </w:tc>
        <w:tc>
          <w:tcPr>
            <w:tcW w:w="1204"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6</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77"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第二十条第（五）项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15"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信息内容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本年处理决定数量</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28"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行政许可</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微软雅黑" w:cs="Times New Roman"/>
                <w:i w:val="0"/>
                <w:iCs w:val="0"/>
                <w:caps w:val="0"/>
                <w:color w:val="333333"/>
                <w:spacing w:val="0"/>
                <w:kern w:val="0"/>
                <w:sz w:val="21"/>
                <w:szCs w:val="21"/>
                <w:lang w:val="en-US" w:eastAsia="zh-CN" w:bidi="ar"/>
              </w:rPr>
              <w:t>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90"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第二十条第（六）项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40"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信息内容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本年处理决定数量</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27"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行政处罚</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微软雅黑" w:cs="Times New Roman"/>
                <w:i w:val="0"/>
                <w:iCs w:val="0"/>
                <w:caps w:val="0"/>
                <w:color w:val="000000"/>
                <w:spacing w:val="0"/>
                <w:kern w:val="0"/>
                <w:sz w:val="20"/>
                <w:szCs w:val="20"/>
                <w:lang w:val="en-US" w:eastAsia="zh-CN" w:bidi="ar"/>
              </w:rPr>
              <w:t>2</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15"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行政强制</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微软雅黑" w:cs="Times New Roman"/>
                <w:i w:val="0"/>
                <w:iCs w:val="0"/>
                <w:caps w:val="0"/>
                <w:color w:val="000000"/>
                <w:spacing w:val="0"/>
                <w:kern w:val="0"/>
                <w:sz w:val="20"/>
                <w:szCs w:val="20"/>
                <w:lang w:val="en-US" w:eastAsia="zh-CN" w:bidi="ar"/>
              </w:rPr>
              <w:t>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27"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第二十条第（八）项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77"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信息内容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本年收费金额（单位：万元）</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98"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宋体" w:cs="Times New Roman"/>
                <w:i w:val="0"/>
                <w:iCs w:val="0"/>
                <w:caps w:val="0"/>
                <w:color w:val="000000"/>
                <w:spacing w:val="0"/>
                <w:kern w:val="0"/>
                <w:sz w:val="20"/>
                <w:szCs w:val="20"/>
                <w:lang w:val="en-US" w:eastAsia="zh-CN" w:bidi="ar"/>
              </w:rPr>
              <w:t>行政事业性收费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 w:val="0"/>
          <w:bCs/>
          <w:color w:val="auto"/>
          <w:sz w:val="32"/>
          <w:szCs w:val="32"/>
          <w:lang w:eastAsia="zh-CN"/>
        </w:rPr>
      </w:pPr>
      <w:r>
        <w:rPr>
          <w:rFonts w:hint="default" w:ascii="Times New Roman" w:hAnsi="Times New Roman" w:eastAsia="黑体" w:cs="Times New Roman"/>
          <w:b w:val="0"/>
          <w:bCs/>
          <w:color w:val="auto"/>
          <w:sz w:val="32"/>
          <w:szCs w:val="32"/>
          <w:lang w:val="en-US" w:eastAsia="zh-CN"/>
        </w:rPr>
        <w:t>三、</w:t>
      </w:r>
      <w:r>
        <w:rPr>
          <w:rFonts w:hint="default" w:ascii="Times New Roman" w:hAnsi="Times New Roman" w:eastAsia="黑体" w:cs="Times New Roman"/>
          <w:b w:val="0"/>
          <w:bCs/>
          <w:color w:val="auto"/>
          <w:sz w:val="32"/>
          <w:szCs w:val="32"/>
          <w:lang w:eastAsia="zh-CN"/>
        </w:rPr>
        <w:t>收到和处理政府信息公开申请情况</w:t>
      </w:r>
    </w:p>
    <w:tbl>
      <w:tblPr>
        <w:tblStyle w:val="3"/>
        <w:tblW w:w="9071" w:type="dxa"/>
        <w:jc w:val="center"/>
        <w:tblLayout w:type="fixed"/>
        <w:tblCellMar>
          <w:top w:w="0" w:type="dxa"/>
          <w:left w:w="0" w:type="dxa"/>
          <w:bottom w:w="0" w:type="dxa"/>
          <w:right w:w="0" w:type="dxa"/>
        </w:tblCellMar>
      </w:tblPr>
      <w:tblGrid>
        <w:gridCol w:w="494"/>
        <w:gridCol w:w="855"/>
        <w:gridCol w:w="2130"/>
        <w:gridCol w:w="825"/>
        <w:gridCol w:w="765"/>
        <w:gridCol w:w="765"/>
        <w:gridCol w:w="825"/>
        <w:gridCol w:w="990"/>
        <w:gridCol w:w="720"/>
        <w:gridCol w:w="702"/>
      </w:tblGrid>
      <w:tr>
        <w:tblPrEx>
          <w:tblCellMar>
            <w:top w:w="0" w:type="dxa"/>
            <w:left w:w="0" w:type="dxa"/>
            <w:bottom w:w="0" w:type="dxa"/>
            <w:right w:w="0" w:type="dxa"/>
          </w:tblCellMar>
        </w:tblPrEx>
        <w:trPr>
          <w:tblHeader/>
          <w:jc w:val="center"/>
        </w:trPr>
        <w:tc>
          <w:tcPr>
            <w:tcW w:w="3479"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申请人情况</w:t>
            </w:r>
          </w:p>
        </w:tc>
      </w:tr>
      <w:tr>
        <w:tblPrEx>
          <w:tblCellMar>
            <w:top w:w="0" w:type="dxa"/>
            <w:left w:w="0" w:type="dxa"/>
            <w:bottom w:w="0" w:type="dxa"/>
            <w:right w:w="0" w:type="dxa"/>
          </w:tblCellMar>
        </w:tblPrEx>
        <w:trPr>
          <w:tblHeade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2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自然人</w:t>
            </w:r>
          </w:p>
        </w:tc>
        <w:tc>
          <w:tcPr>
            <w:tcW w:w="4065"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法人或其他组织</w:t>
            </w:r>
          </w:p>
        </w:tc>
        <w:tc>
          <w:tcPr>
            <w:tcW w:w="702"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总计</w:t>
            </w:r>
          </w:p>
        </w:tc>
      </w:tr>
      <w:tr>
        <w:tblPrEx>
          <w:tblCellMar>
            <w:top w:w="0" w:type="dxa"/>
            <w:left w:w="0" w:type="dxa"/>
            <w:bottom w:w="0" w:type="dxa"/>
            <w:right w:w="0" w:type="dxa"/>
          </w:tblCellMar>
        </w:tblPrEx>
        <w:trPr>
          <w:trHeight w:val="734" w:hRule="atLeast"/>
          <w:tblHeade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2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商业企业</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科研机构</w:t>
            </w:r>
          </w:p>
        </w:tc>
        <w:tc>
          <w:tcPr>
            <w:tcW w:w="82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社会公益组织</w:t>
            </w:r>
          </w:p>
        </w:tc>
        <w:tc>
          <w:tcPr>
            <w:tcW w:w="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法律服务机构</w:t>
            </w:r>
          </w:p>
        </w:tc>
        <w:tc>
          <w:tcPr>
            <w:tcW w:w="72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其他</w:t>
            </w:r>
          </w:p>
        </w:tc>
        <w:tc>
          <w:tcPr>
            <w:tcW w:w="702" w:type="dxa"/>
            <w:vMerge w:val="continue"/>
            <w:tcBorders>
              <w:top w:val="single" w:color="auto" w:sz="8" w:space="0"/>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宋体" w:cs="Times New Roman"/>
                <w:sz w:val="20"/>
                <w:szCs w:val="20"/>
              </w:rPr>
              <w:t>一、本年新收政府信息公开申请数量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val="en-US" w:eastAsia="zh-CN"/>
              </w:rPr>
              <w:t>0</w:t>
            </w: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宋体" w:cs="Times New Roman"/>
                <w:sz w:val="20"/>
                <w:szCs w:val="20"/>
              </w:rPr>
              <w:t>二、上年结转政府信息公开申请数量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三、本年度办理结果</w:t>
            </w:r>
          </w:p>
        </w:tc>
        <w:tc>
          <w:tcPr>
            <w:tcW w:w="2985" w:type="dxa"/>
            <w:gridSpan w:val="2"/>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（一）予以公开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985" w:type="dxa"/>
            <w:gridSpan w:val="2"/>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（二）部分公开（区分处理的，只计这一情形，不计其他情形）</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（三）不予公开</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1.属于国家秘密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2.其他法律行政法规禁止公开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3.危及“三安全一稳定”</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4.保护第三方合法权益</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5.属于三类内部事务信息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6.属于四类过程性信息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7.属于行政执法案卷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8.属于行政查询事项</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（四）无法提供</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1.本机关不掌握相关政府信息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2.没有现成信息需要另行制作</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3.补正后申请内容仍不明确</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（五）不予处理</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1.信访举报投诉类申请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2.重复申请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3.要求提供公开出版物</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4.无正当理由大量反复申请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5.要求行政机关确认或重新出具已获取信息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985" w:type="dxa"/>
            <w:gridSpan w:val="2"/>
            <w:tcBorders>
              <w:top w:val="nil"/>
              <w:left w:val="nil"/>
              <w:bottom w:val="single" w:color="auto" w:sz="8"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（六）其他处理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4"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p>
        </w:tc>
        <w:tc>
          <w:tcPr>
            <w:tcW w:w="2985" w:type="dxa"/>
            <w:gridSpan w:val="2"/>
            <w:tcBorders>
              <w:top w:val="nil"/>
              <w:left w:val="nil"/>
              <w:bottom w:val="single" w:color="auto" w:sz="4" w:space="0"/>
              <w:right w:val="single" w:color="auto" w:sz="8" w:space="0"/>
            </w:tcBorders>
            <w:vAlign w:val="center"/>
          </w:tcPr>
          <w:p>
            <w:pPr>
              <w:widowControl/>
              <w:spacing w:line="260" w:lineRule="exact"/>
              <w:jc w:val="left"/>
              <w:rPr>
                <w:rFonts w:hint="default" w:ascii="Times New Roman" w:hAnsi="Times New Roman" w:eastAsia="宋体" w:cs="Times New Roman"/>
                <w:sz w:val="24"/>
              </w:rPr>
            </w:pPr>
            <w:r>
              <w:rPr>
                <w:rFonts w:hint="default" w:ascii="Times New Roman" w:hAnsi="Times New Roman" w:eastAsia="楷体" w:cs="Times New Roman"/>
                <w:sz w:val="20"/>
                <w:szCs w:val="20"/>
              </w:rPr>
              <w:t>（七）总计</w:t>
            </w:r>
          </w:p>
        </w:tc>
        <w:tc>
          <w:tcPr>
            <w:tcW w:w="82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0</w:t>
            </w:r>
          </w:p>
        </w:tc>
      </w:tr>
      <w:tr>
        <w:tblPrEx>
          <w:tblCellMar>
            <w:top w:w="0" w:type="dxa"/>
            <w:left w:w="0" w:type="dxa"/>
            <w:bottom w:w="0" w:type="dxa"/>
            <w:right w:w="0" w:type="dxa"/>
          </w:tblCellMar>
        </w:tblPrEx>
        <w:trPr>
          <w:jc w:val="center"/>
        </w:trPr>
        <w:tc>
          <w:tcPr>
            <w:tcW w:w="3479"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both"/>
              <w:rPr>
                <w:rFonts w:hint="default" w:ascii="Times New Roman" w:hAnsi="Times New Roman" w:eastAsia="宋体" w:cs="Times New Roman"/>
                <w:sz w:val="24"/>
              </w:rPr>
            </w:pPr>
            <w:r>
              <w:rPr>
                <w:rFonts w:hint="default" w:ascii="Times New Roman" w:hAnsi="Times New Roman" w:eastAsia="宋体" w:cs="Times New Roman"/>
                <w:sz w:val="20"/>
                <w:szCs w:val="20"/>
              </w:rPr>
              <w:t>四、结转下年度继续办理</w:t>
            </w:r>
          </w:p>
        </w:tc>
        <w:tc>
          <w:tcPr>
            <w:tcW w:w="82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82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99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2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70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 w:val="0"/>
          <w:bCs/>
          <w:color w:val="auto"/>
          <w:sz w:val="32"/>
          <w:szCs w:val="32"/>
          <w:lang w:eastAsia="zh-CN"/>
        </w:rPr>
      </w:pPr>
      <w:r>
        <w:rPr>
          <w:rFonts w:hint="default" w:ascii="Times New Roman" w:hAnsi="Times New Roman" w:eastAsia="黑体" w:cs="Times New Roman"/>
          <w:b w:val="0"/>
          <w:bCs/>
          <w:color w:val="auto"/>
          <w:sz w:val="32"/>
          <w:szCs w:val="32"/>
          <w:lang w:val="en-US" w:eastAsia="zh-CN"/>
        </w:rPr>
        <w:t>四、</w:t>
      </w:r>
      <w:r>
        <w:rPr>
          <w:rFonts w:hint="default" w:ascii="Times New Roman" w:hAnsi="Times New Roman" w:eastAsia="黑体" w:cs="Times New Roman"/>
          <w:b w:val="0"/>
          <w:bCs/>
          <w:color w:val="auto"/>
          <w:sz w:val="32"/>
          <w:szCs w:val="32"/>
          <w:lang w:eastAsia="zh-CN"/>
        </w:rPr>
        <w:t>政府信息公开行政复议、行政诉讼情况</w:t>
      </w:r>
    </w:p>
    <w:tbl>
      <w:tblPr>
        <w:tblStyle w:val="3"/>
        <w:tblW w:w="9071" w:type="dxa"/>
        <w:jc w:val="center"/>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复议后起诉</w:t>
            </w:r>
          </w:p>
        </w:tc>
      </w:tr>
      <w:tr>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宋体" w:cs="Times New Roman"/>
                <w:sz w:val="24"/>
              </w:rPr>
            </w:pPr>
          </w:p>
        </w:tc>
        <w:tc>
          <w:tcPr>
            <w:tcW w:w="60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宋体" w:cs="Times New Roman"/>
                <w:sz w:val="24"/>
              </w:rPr>
            </w:pPr>
          </w:p>
        </w:tc>
        <w:tc>
          <w:tcPr>
            <w:tcW w:w="604"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宋体" w:cs="Times New Roman"/>
                <w:sz w:val="24"/>
              </w:rPr>
            </w:pPr>
          </w:p>
        </w:tc>
        <w:tc>
          <w:tcPr>
            <w:tcW w:w="604"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宋体" w:cs="Times New Roman"/>
                <w:sz w:val="24"/>
              </w:rPr>
            </w:pPr>
          </w:p>
        </w:tc>
        <w:tc>
          <w:tcPr>
            <w:tcW w:w="658"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宋体" w:cs="Times New Roman"/>
                <w:sz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color w:val="00000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color w:val="00000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宋体" w:cs="Times New Roman"/>
                <w:sz w:val="24"/>
              </w:rPr>
            </w:pPr>
            <w:r>
              <w:rPr>
                <w:rFonts w:hint="default" w:ascii="Times New Roman" w:hAnsi="Times New Roman" w:eastAsia="宋体" w:cs="Times New Roman"/>
                <w:color w:val="00000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Times New Roman" w:hAnsi="Times New Roman" w:eastAsia="宋体" w:cs="Times New Roman"/>
                <w:sz w:val="24"/>
              </w:rPr>
            </w:pPr>
            <w:r>
              <w:rPr>
                <w:rFonts w:hint="default" w:ascii="Times New Roman" w:hAnsi="Times New Roman" w:eastAsia="宋体" w:cs="Times New Roman"/>
                <w:sz w:val="24"/>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 w:val="0"/>
          <w:bCs/>
          <w:color w:val="auto"/>
          <w:sz w:val="32"/>
          <w:szCs w:val="32"/>
          <w:lang w:eastAsia="zh-CN"/>
        </w:rPr>
      </w:pPr>
      <w:r>
        <w:rPr>
          <w:rFonts w:hint="default" w:ascii="Times New Roman" w:hAnsi="Times New Roman" w:eastAsia="黑体" w:cs="Times New Roman"/>
          <w:b w:val="0"/>
          <w:bCs/>
          <w:color w:val="auto"/>
          <w:sz w:val="32"/>
          <w:szCs w:val="32"/>
          <w:lang w:val="en-US" w:eastAsia="zh-CN"/>
        </w:rPr>
        <w:t>五、</w:t>
      </w:r>
      <w:r>
        <w:rPr>
          <w:rFonts w:hint="default" w:ascii="Times New Roman" w:hAnsi="Times New Roman" w:eastAsia="黑体" w:cs="Times New Roman"/>
          <w:b w:val="0"/>
          <w:bCs/>
          <w:color w:val="auto"/>
          <w:sz w:val="32"/>
          <w:szCs w:val="32"/>
          <w:lang w:eastAsia="zh-CN"/>
        </w:rPr>
        <w:t>存在的主要问题及改进情况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政府网站和政务新媒体信息员队伍</w:t>
      </w:r>
      <w:r>
        <w:rPr>
          <w:rFonts w:hint="default" w:ascii="Times New Roman" w:hAnsi="Times New Roman" w:eastAsia="仿宋_GB2312" w:cs="Times New Roman"/>
          <w:sz w:val="32"/>
          <w:szCs w:val="32"/>
          <w:lang w:val="en-US" w:eastAsia="zh-CN"/>
        </w:rPr>
        <w:t>建设仍需进一步加强。</w:t>
      </w:r>
      <w:r>
        <w:rPr>
          <w:rFonts w:hint="default" w:ascii="Times New Roman" w:hAnsi="Times New Roman" w:eastAsia="仿宋_GB2312" w:cs="Times New Roman"/>
          <w:sz w:val="32"/>
          <w:szCs w:val="32"/>
        </w:rPr>
        <w:t>重点做好以下工作：</w:t>
      </w:r>
      <w:r>
        <w:rPr>
          <w:rFonts w:hint="default" w:ascii="Times New Roman" w:hAnsi="Times New Roman" w:eastAsia="仿宋_GB2312" w:cs="Times New Roman"/>
          <w:sz w:val="32"/>
          <w:szCs w:val="32"/>
          <w:lang w:val="en-US" w:eastAsia="zh-CN"/>
        </w:rPr>
        <w:t>强化人员能力建设，</w:t>
      </w:r>
      <w:r>
        <w:rPr>
          <w:rFonts w:hint="default" w:ascii="Times New Roman" w:hAnsi="Times New Roman" w:eastAsia="仿宋_GB2312" w:cs="Times New Roman"/>
          <w:sz w:val="32"/>
          <w:szCs w:val="32"/>
          <w:lang w:val="en-US" w:eastAsia="zh-CN"/>
        </w:rPr>
        <w:t>通过个人自学、各类</w:t>
      </w:r>
      <w:r>
        <w:rPr>
          <w:rFonts w:hint="default" w:ascii="Times New Roman" w:hAnsi="Times New Roman" w:eastAsia="仿宋_GB2312" w:cs="Times New Roman"/>
          <w:sz w:val="32"/>
          <w:szCs w:val="32"/>
        </w:rPr>
        <w:t>业务培训，提高政务公开工作人员的认识水平和工作能力。</w:t>
      </w:r>
      <w:r>
        <w:rPr>
          <w:rFonts w:hint="default" w:ascii="Times New Roman" w:hAnsi="Times New Roman" w:eastAsia="仿宋_GB2312" w:cs="Times New Roman"/>
          <w:sz w:val="32"/>
          <w:szCs w:val="32"/>
          <w:lang w:val="en-US" w:eastAsia="zh-CN"/>
        </w:rPr>
        <w:t>加强内部协同，确保</w:t>
      </w:r>
      <w:r>
        <w:rPr>
          <w:rFonts w:hint="default" w:ascii="Times New Roman" w:hAnsi="Times New Roman" w:eastAsia="仿宋_GB2312" w:cs="Times New Roman"/>
          <w:sz w:val="32"/>
          <w:szCs w:val="32"/>
        </w:rPr>
        <w:t>信息收集与公开</w:t>
      </w:r>
      <w:r>
        <w:rPr>
          <w:rFonts w:hint="default" w:ascii="Times New Roman" w:hAnsi="Times New Roman" w:eastAsia="仿宋_GB2312" w:cs="Times New Roman"/>
          <w:sz w:val="32"/>
          <w:szCs w:val="32"/>
          <w:lang w:val="en-US" w:eastAsia="zh-CN"/>
        </w:rPr>
        <w:t>无缝衔接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强化轮岗力度，保障</w:t>
      </w:r>
      <w:r>
        <w:rPr>
          <w:rFonts w:hint="default" w:ascii="Times New Roman" w:hAnsi="Times New Roman" w:eastAsia="仿宋_GB2312" w:cs="Times New Roman"/>
          <w:sz w:val="32"/>
          <w:szCs w:val="32"/>
        </w:rPr>
        <w:t>信息</w:t>
      </w:r>
      <w:r>
        <w:rPr>
          <w:rFonts w:hint="default" w:ascii="Times New Roman" w:hAnsi="Times New Roman" w:eastAsia="仿宋_GB2312" w:cs="Times New Roman"/>
          <w:sz w:val="32"/>
          <w:szCs w:val="32"/>
          <w:lang w:val="en-US" w:eastAsia="zh-CN"/>
        </w:rPr>
        <w:t>公开</w:t>
      </w:r>
      <w:r>
        <w:rPr>
          <w:rFonts w:hint="default" w:ascii="Times New Roman" w:hAnsi="Times New Roman" w:eastAsia="仿宋_GB2312" w:cs="Times New Roman"/>
          <w:sz w:val="32"/>
          <w:szCs w:val="32"/>
        </w:rPr>
        <w:t>及时、准确、全面</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深化政务公开标准化规范化建设</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严格</w:t>
      </w:r>
      <w:bookmarkStart w:id="0" w:name="_GoBack"/>
      <w:bookmarkEnd w:id="0"/>
      <w:r>
        <w:rPr>
          <w:rFonts w:hint="default" w:ascii="Times New Roman" w:hAnsi="Times New Roman" w:eastAsia="仿宋_GB2312" w:cs="Times New Roman"/>
          <w:sz w:val="32"/>
          <w:szCs w:val="32"/>
        </w:rPr>
        <w:t>落实上级关于基层政务公开标准化规范化建设的统一部署和有关要求，不断完善工作机制，全面提升政务公开标准化规范化水平。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b w:val="0"/>
          <w:bCs/>
          <w:color w:val="auto"/>
          <w:sz w:val="32"/>
          <w:szCs w:val="32"/>
          <w:lang w:eastAsia="zh-CN"/>
        </w:rPr>
      </w:pPr>
      <w:r>
        <w:rPr>
          <w:rFonts w:hint="default" w:ascii="Times New Roman" w:hAnsi="Times New Roman" w:eastAsia="黑体" w:cs="Times New Roman"/>
          <w:b w:val="0"/>
          <w:bCs/>
          <w:color w:val="auto"/>
          <w:sz w:val="32"/>
          <w:szCs w:val="32"/>
          <w:lang w:val="en-US" w:eastAsia="zh-CN"/>
        </w:rPr>
        <w:t>六、</w:t>
      </w:r>
      <w:r>
        <w:rPr>
          <w:rFonts w:hint="default" w:ascii="Times New Roman" w:hAnsi="Times New Roman" w:eastAsia="黑体" w:cs="Times New Roman"/>
          <w:b w:val="0"/>
          <w:bCs/>
          <w:color w:val="auto"/>
          <w:sz w:val="32"/>
          <w:szCs w:val="32"/>
          <w:lang w:eastAsia="zh-CN"/>
        </w:rPr>
        <w:t>其他需要报告的事项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本机关</w:t>
      </w:r>
      <w:r>
        <w:rPr>
          <w:rFonts w:hint="default" w:ascii="Times New Roman" w:hAnsi="Times New Roman" w:eastAsia="仿宋_GB2312" w:cs="Times New Roman"/>
          <w:sz w:val="32"/>
          <w:szCs w:val="32"/>
          <w:lang w:val="en-US" w:eastAsia="zh-CN"/>
        </w:rPr>
        <w:t>2022</w:t>
      </w:r>
      <w:r>
        <w:rPr>
          <w:rFonts w:hint="default" w:ascii="Times New Roman" w:hAnsi="Times New Roman" w:eastAsia="仿宋_GB2312" w:cs="Times New Roman"/>
          <w:sz w:val="32"/>
          <w:szCs w:val="32"/>
        </w:rPr>
        <w:t>年度未收取信息处理费。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p>
    <w:tbl>
      <w:tblPr>
        <w:tblStyle w:val="4"/>
        <w:tblW w:w="0" w:type="auto"/>
        <w:tblInd w:w="53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66" w:type="dxa"/>
            <w:tcBorders>
              <w:tl2br w:val="nil"/>
              <w:tr2bl w:val="nil"/>
            </w:tcBorders>
          </w:tcPr>
          <w:p>
            <w:pPr>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太仓市医疗保障局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66" w:type="dxa"/>
            <w:tcBorders>
              <w:tl2br w:val="nil"/>
              <w:tr2bl w:val="nil"/>
            </w:tcBorders>
          </w:tcPr>
          <w:p>
            <w:pPr>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2023年1月30日</w:t>
            </w:r>
          </w:p>
        </w:tc>
      </w:tr>
    </w:tbl>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10"/>
          <w:szCs w:val="10"/>
          <w:lang w:val="en-US" w:eastAsia="zh-CN"/>
        </w:rPr>
      </w:pPr>
    </w:p>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1D423A7-F49C-4139-99EB-065093E142D9}"/>
  </w:font>
  <w:font w:name="Arial">
    <w:panose1 w:val="020B0604020202020204"/>
    <w:charset w:val="01"/>
    <w:family w:val="swiss"/>
    <w:pitch w:val="default"/>
    <w:sig w:usb0="E0002EFF" w:usb1="C000785B" w:usb2="00000009" w:usb3="00000000" w:csb0="400001FF" w:csb1="FFFF0000"/>
    <w:embedRegular r:id="rId2" w:fontKey="{4058E444-DF67-4C0A-BCA5-D1706DC193C4}"/>
  </w:font>
  <w:font w:name="黑体">
    <w:panose1 w:val="02010609060101010101"/>
    <w:charset w:val="86"/>
    <w:family w:val="auto"/>
    <w:pitch w:val="default"/>
    <w:sig w:usb0="800002BF" w:usb1="38CF7CFA" w:usb2="00000016" w:usb3="00000000" w:csb0="00040001" w:csb1="00000000"/>
    <w:embedRegular r:id="rId3" w:fontKey="{E1DF0D82-EEF6-4ED6-92F5-EA2FD0821BF0}"/>
  </w:font>
  <w:font w:name="Courier New">
    <w:panose1 w:val="02070309020205020404"/>
    <w:charset w:val="01"/>
    <w:family w:val="modern"/>
    <w:pitch w:val="default"/>
    <w:sig w:usb0="E0002EFF" w:usb1="C0007843" w:usb2="00000009" w:usb3="00000000" w:csb0="400001FF" w:csb1="FFFF0000"/>
    <w:embedRegular r:id="rId4" w:fontKey="{500DC1F4-06D1-4B92-AFE1-4B9A2AE8D414}"/>
  </w:font>
  <w:font w:name="Symbol">
    <w:panose1 w:val="05050102010706020507"/>
    <w:charset w:val="02"/>
    <w:family w:val="roman"/>
    <w:pitch w:val="default"/>
    <w:sig w:usb0="00000000" w:usb1="00000000" w:usb2="00000000" w:usb3="00000000" w:csb0="80000000" w:csb1="00000000"/>
    <w:embedRegular r:id="rId5" w:fontKey="{B870E3AC-7C84-4655-B25C-B2BB4CA0DB1B}"/>
  </w:font>
  <w:font w:name="Calibri">
    <w:panose1 w:val="020F0502020204030204"/>
    <w:charset w:val="00"/>
    <w:family w:val="swiss"/>
    <w:pitch w:val="default"/>
    <w:sig w:usb0="E4002EFF" w:usb1="C000247B" w:usb2="00000009" w:usb3="00000000" w:csb0="200001FF" w:csb1="00000000"/>
    <w:embedRegular r:id="rId6" w:fontKey="{A718EDF9-4D83-4780-A3C7-A0AAF82F4874}"/>
  </w:font>
  <w:font w:name="方正大标宋简体">
    <w:panose1 w:val="03000509000000000000"/>
    <w:charset w:val="86"/>
    <w:family w:val="auto"/>
    <w:pitch w:val="default"/>
    <w:sig w:usb0="00000001" w:usb1="080E0000" w:usb2="00000000" w:usb3="00000000" w:csb0="00040000" w:csb1="00000000"/>
    <w:embedRegular r:id="rId7" w:fontKey="{1C726E89-65F5-4D3B-8A26-8B2DEE647CAD}"/>
  </w:font>
  <w:font w:name="仿宋_GB2312">
    <w:panose1 w:val="02010609030101010101"/>
    <w:charset w:val="86"/>
    <w:family w:val="auto"/>
    <w:pitch w:val="default"/>
    <w:sig w:usb0="00000001" w:usb1="080E0000" w:usb2="00000000" w:usb3="00000000" w:csb0="00040000" w:csb1="00000000"/>
    <w:embedRegular r:id="rId8" w:fontKey="{21DE1FB2-8FDD-4EB2-8850-A06B8F8B3A7C}"/>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embedRegular r:id="rId9" w:fontKey="{10FE8244-9CCD-4C55-BFBF-BBF722BF4CEC}"/>
  </w:font>
  <w:font w:name="楷体">
    <w:panose1 w:val="02010609060101010101"/>
    <w:charset w:val="86"/>
    <w:family w:val="modern"/>
    <w:pitch w:val="default"/>
    <w:sig w:usb0="800002BF" w:usb1="38CF7CFA" w:usb2="00000016" w:usb3="00000000" w:csb0="00040001" w:csb1="00000000"/>
    <w:embedRegular r:id="rId10" w:fontKey="{3162EF55-59D5-4F84-B163-490A3007BF2F}"/>
  </w:font>
  <w:font w:name="Arial">
    <w:panose1 w:val="020B0604020202020204"/>
    <w:charset w:val="00"/>
    <w:family w:val="auto"/>
    <w:pitch w:val="default"/>
    <w:sig w:usb0="E0002EFF" w:usb1="C000785B" w:usb2="00000009" w:usb3="00000000" w:csb0="400001FF" w:csb1="FFFF0000"/>
    <w:embedRegular r:id="rId11" w:fontKey="{09255C26-43F0-46C0-AFE8-645820DF1F7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FD0A97"/>
    <w:rsid w:val="00517993"/>
    <w:rsid w:val="008B7DF4"/>
    <w:rsid w:val="039B6088"/>
    <w:rsid w:val="04E52D42"/>
    <w:rsid w:val="04FD0A97"/>
    <w:rsid w:val="06552BE1"/>
    <w:rsid w:val="07031B0B"/>
    <w:rsid w:val="08B02233"/>
    <w:rsid w:val="0A51481A"/>
    <w:rsid w:val="0ABE6C2F"/>
    <w:rsid w:val="0AF6049F"/>
    <w:rsid w:val="0B2317F1"/>
    <w:rsid w:val="0B6E67B5"/>
    <w:rsid w:val="0CC26FB9"/>
    <w:rsid w:val="0D8B5EA8"/>
    <w:rsid w:val="0EE17B7E"/>
    <w:rsid w:val="11860F49"/>
    <w:rsid w:val="11DC7036"/>
    <w:rsid w:val="1286010F"/>
    <w:rsid w:val="152B0DA8"/>
    <w:rsid w:val="16706E69"/>
    <w:rsid w:val="1727715C"/>
    <w:rsid w:val="18244E06"/>
    <w:rsid w:val="19492CB0"/>
    <w:rsid w:val="1B184F0B"/>
    <w:rsid w:val="1C4578C9"/>
    <w:rsid w:val="1FEE5DFB"/>
    <w:rsid w:val="21165107"/>
    <w:rsid w:val="22223566"/>
    <w:rsid w:val="22996B36"/>
    <w:rsid w:val="22B418B2"/>
    <w:rsid w:val="25181BBA"/>
    <w:rsid w:val="25382341"/>
    <w:rsid w:val="25680B86"/>
    <w:rsid w:val="2A2940FB"/>
    <w:rsid w:val="2BF174D6"/>
    <w:rsid w:val="352462C6"/>
    <w:rsid w:val="358034A8"/>
    <w:rsid w:val="377D1466"/>
    <w:rsid w:val="3BA173D4"/>
    <w:rsid w:val="3FEC2472"/>
    <w:rsid w:val="423548B7"/>
    <w:rsid w:val="426F6338"/>
    <w:rsid w:val="42B94378"/>
    <w:rsid w:val="44500C30"/>
    <w:rsid w:val="44C11AE7"/>
    <w:rsid w:val="45C573B4"/>
    <w:rsid w:val="47FF57D2"/>
    <w:rsid w:val="49CB7577"/>
    <w:rsid w:val="4A620F3D"/>
    <w:rsid w:val="4A854A90"/>
    <w:rsid w:val="4B827F8A"/>
    <w:rsid w:val="4DA568FD"/>
    <w:rsid w:val="4EA859A3"/>
    <w:rsid w:val="4EFF0CD7"/>
    <w:rsid w:val="508B1BC8"/>
    <w:rsid w:val="50F66AB6"/>
    <w:rsid w:val="52536121"/>
    <w:rsid w:val="536618D5"/>
    <w:rsid w:val="577E0D9C"/>
    <w:rsid w:val="58754349"/>
    <w:rsid w:val="5A3A4D6F"/>
    <w:rsid w:val="5AE55AF2"/>
    <w:rsid w:val="5C5D110A"/>
    <w:rsid w:val="5D3D33CC"/>
    <w:rsid w:val="5E275BE2"/>
    <w:rsid w:val="60F910CC"/>
    <w:rsid w:val="61431FF7"/>
    <w:rsid w:val="625C6BF0"/>
    <w:rsid w:val="62A92654"/>
    <w:rsid w:val="63C874B9"/>
    <w:rsid w:val="640B3B33"/>
    <w:rsid w:val="65D2065E"/>
    <w:rsid w:val="662C7C8C"/>
    <w:rsid w:val="66B42111"/>
    <w:rsid w:val="676D7AD2"/>
    <w:rsid w:val="68426A50"/>
    <w:rsid w:val="6CE03709"/>
    <w:rsid w:val="6D8C7E5F"/>
    <w:rsid w:val="6E7225AC"/>
    <w:rsid w:val="6EEA4237"/>
    <w:rsid w:val="76EB30A8"/>
    <w:rsid w:val="77F40E47"/>
    <w:rsid w:val="79574578"/>
    <w:rsid w:val="79D02DCC"/>
    <w:rsid w:val="7B111598"/>
    <w:rsid w:val="7B7D7642"/>
    <w:rsid w:val="7BDE4833"/>
    <w:rsid w:val="7C7D78F0"/>
    <w:rsid w:val="7CD171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FollowedHyperlink"/>
    <w:basedOn w:val="5"/>
    <w:qFormat/>
    <w:uiPriority w:val="0"/>
    <w:rPr>
      <w:color w:val="333333"/>
      <w:u w:val="none"/>
    </w:rPr>
  </w:style>
  <w:style w:type="character" w:styleId="7">
    <w:name w:val="Emphasis"/>
    <w:basedOn w:val="5"/>
    <w:qFormat/>
    <w:uiPriority w:val="0"/>
  </w:style>
  <w:style w:type="character" w:styleId="8">
    <w:name w:val="Hyperlink"/>
    <w:basedOn w:val="5"/>
    <w:qFormat/>
    <w:uiPriority w:val="0"/>
    <w:rPr>
      <w:color w:val="333333"/>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2020-01-22T02:44:00Z</dcterms:created>
  <dc:creator>yt_tcfgw</dc:creator>
  <cp:lastModifiedBy>Jiarui</cp:lastModifiedBy>
  <cp:lastPrinted>2020-01-22T06:28:00Z</cp:lastPrinted>
  <dcterms:modified xsi:type="dcterms:W3CDTF">2023-01-30T10:00:43Z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KSOSaveFontToCloudKey">
    <vt:lpwstr>384519337_embed</vt:lpwstr>
  </property>
  <property fmtid="{D5CDD505-2E9C-101B-9397-08002B2CF9AE}" pid="4" name="ICV">
    <vt:lpwstr>1D582807783F4D67BCC1D99CEB320F75</vt:lpwstr>
  </property>
</Properties>
</file>