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781" w:beforeLines="250"/>
        <w:jc w:val="center"/>
        <w:textAlignment w:val="auto"/>
        <w:rPr>
          <w:rFonts w:hint="eastAsia" w:ascii="方正大标宋简体" w:hAnsi="方正大标宋简体" w:eastAsia="方正大标宋简体" w:cs="方正大标宋简体"/>
          <w:b w:val="0"/>
          <w:bCs/>
          <w:color w:val="auto"/>
          <w:sz w:val="44"/>
          <w:szCs w:val="44"/>
        </w:rPr>
      </w:pPr>
      <w:r>
        <w:rPr>
          <w:rFonts w:hint="eastAsia" w:ascii="方正大标宋简体" w:hAnsi="方正大标宋简体" w:eastAsia="方正大标宋简体" w:cs="方正大标宋简体"/>
          <w:b w:val="0"/>
          <w:bCs/>
          <w:color w:val="auto"/>
          <w:sz w:val="44"/>
          <w:szCs w:val="44"/>
          <w:lang w:val="en-US" w:eastAsia="zh-CN"/>
        </w:rPr>
        <w:t>太仓市医疗保障局</w:t>
      </w:r>
      <w:r>
        <w:rPr>
          <w:rFonts w:hint="eastAsia" w:ascii="方正大标宋简体" w:hAnsi="方正大标宋简体" w:eastAsia="方正大标宋简体" w:cs="方正大标宋简体"/>
          <w:b w:val="0"/>
          <w:bCs/>
          <w:color w:val="auto"/>
          <w:sz w:val="44"/>
          <w:szCs w:val="44"/>
        </w:rPr>
        <w:t>20</w:t>
      </w:r>
      <w:r>
        <w:rPr>
          <w:rFonts w:hint="eastAsia" w:ascii="方正大标宋简体" w:hAnsi="方正大标宋简体" w:eastAsia="方正大标宋简体" w:cs="方正大标宋简体"/>
          <w:b w:val="0"/>
          <w:bCs/>
          <w:color w:val="auto"/>
          <w:sz w:val="44"/>
          <w:szCs w:val="44"/>
          <w:lang w:val="en-US" w:eastAsia="zh-CN"/>
        </w:rPr>
        <w:t>21</w:t>
      </w:r>
      <w:r>
        <w:rPr>
          <w:rFonts w:hint="eastAsia" w:ascii="方正大标宋简体" w:hAnsi="方正大标宋简体" w:eastAsia="方正大标宋简体" w:cs="方正大标宋简体"/>
          <w:b w:val="0"/>
          <w:bCs/>
          <w:color w:val="auto"/>
          <w:sz w:val="44"/>
          <w:szCs w:val="44"/>
        </w:rPr>
        <w:t>年政府信息公开</w:t>
      </w:r>
    </w:p>
    <w:p>
      <w:pPr>
        <w:keepNext w:val="0"/>
        <w:keepLines w:val="0"/>
        <w:pageBreakBefore w:val="0"/>
        <w:widowControl w:val="0"/>
        <w:kinsoku/>
        <w:wordWrap/>
        <w:overflowPunct/>
        <w:topLinePunct w:val="0"/>
        <w:autoSpaceDE/>
        <w:autoSpaceDN/>
        <w:bidi w:val="0"/>
        <w:adjustRightInd/>
        <w:snapToGrid w:val="0"/>
        <w:spacing w:after="625" w:afterLines="200"/>
        <w:jc w:val="center"/>
        <w:textAlignment w:val="auto"/>
        <w:rPr>
          <w:rFonts w:hint="default" w:ascii="Times New Roman" w:hAnsi="Times New Roman" w:cs="Times New Roman"/>
          <w:b w:val="0"/>
          <w:bCs/>
          <w:color w:val="auto"/>
          <w:sz w:val="32"/>
          <w:szCs w:val="32"/>
        </w:rPr>
      </w:pPr>
      <w:r>
        <w:rPr>
          <w:rFonts w:hint="eastAsia" w:ascii="方正大标宋简体" w:hAnsi="方正大标宋简体" w:eastAsia="方正大标宋简体" w:cs="方正大标宋简体"/>
          <w:b w:val="0"/>
          <w:bCs/>
          <w:color w:val="auto"/>
          <w:sz w:val="44"/>
          <w:szCs w:val="44"/>
        </w:rPr>
        <w:t>工作年度报告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本年报根据《中华人民共和国政府信息公开条例》</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以下简称《条例》</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规定和</w:t>
      </w:r>
      <w:r>
        <w:rPr>
          <w:rFonts w:hint="eastAsia" w:ascii="Times New Roman" w:hAnsi="Times New Roman" w:eastAsia="仿宋_GB2312" w:cs="仿宋_GB2312"/>
          <w:sz w:val="32"/>
          <w:szCs w:val="32"/>
          <w:lang w:val="en-US" w:eastAsia="zh-CN"/>
        </w:rPr>
        <w:t>太仓</w:t>
      </w:r>
      <w:r>
        <w:rPr>
          <w:rFonts w:hint="eastAsia" w:ascii="Times New Roman" w:hAnsi="Times New Roman" w:eastAsia="仿宋_GB2312" w:cs="仿宋_GB2312"/>
          <w:sz w:val="32"/>
          <w:szCs w:val="32"/>
        </w:rPr>
        <w:t>市人民政府办公室《关于做好2021年政府信息公开工作年度报告编制发布工作的通知》要求，由太仓市</w:t>
      </w:r>
      <w:r>
        <w:rPr>
          <w:rFonts w:hint="eastAsia" w:ascii="Times New Roman" w:hAnsi="Times New Roman" w:eastAsia="仿宋_GB2312" w:cs="仿宋_GB2312"/>
          <w:sz w:val="32"/>
          <w:szCs w:val="32"/>
          <w:lang w:val="en-US" w:eastAsia="zh-CN"/>
        </w:rPr>
        <w:t>医疗保障局</w:t>
      </w:r>
      <w:r>
        <w:rPr>
          <w:rFonts w:hint="eastAsia" w:ascii="Times New Roman" w:hAnsi="Times New Roman" w:eastAsia="仿宋_GB2312" w:cs="仿宋_GB2312"/>
          <w:sz w:val="32"/>
          <w:szCs w:val="32"/>
        </w:rPr>
        <w:t>编制。本年报所列数据的统计期限自2021年1月1日起至2021年12月31日止。如对年报有任何疑问，请与</w:t>
      </w:r>
      <w:r>
        <w:rPr>
          <w:rFonts w:hint="eastAsia" w:ascii="Times New Roman" w:hAnsi="Times New Roman" w:eastAsia="仿宋_GB2312" w:cs="仿宋_GB2312"/>
          <w:sz w:val="32"/>
          <w:szCs w:val="32"/>
          <w:lang w:val="en-US" w:eastAsia="zh-CN"/>
        </w:rPr>
        <w:t>市医疗保障局办公室</w:t>
      </w:r>
      <w:r>
        <w:rPr>
          <w:rFonts w:hint="eastAsia" w:ascii="Times New Roman" w:hAnsi="Times New Roman" w:eastAsia="仿宋_GB2312" w:cs="仿宋_GB2312"/>
          <w:sz w:val="32"/>
          <w:szCs w:val="32"/>
        </w:rPr>
        <w:t>联系（地址：</w:t>
      </w:r>
      <w:r>
        <w:rPr>
          <w:rFonts w:hint="eastAsia" w:ascii="Times New Roman" w:hAnsi="Times New Roman" w:eastAsia="仿宋_GB2312" w:cs="仿宋_GB2312"/>
          <w:sz w:val="32"/>
          <w:szCs w:val="32"/>
          <w:lang w:val="en-US" w:eastAsia="zh-CN"/>
        </w:rPr>
        <w:t>十八港路29号</w:t>
      </w:r>
      <w:r>
        <w:rPr>
          <w:rFonts w:hint="eastAsia" w:ascii="Times New Roman" w:hAnsi="Times New Roman" w:eastAsia="仿宋_GB2312" w:cs="仿宋_GB2312"/>
          <w:sz w:val="32"/>
          <w:szCs w:val="32"/>
        </w:rPr>
        <w:t>，邮编：215400，电话0512-</w:t>
      </w:r>
      <w:r>
        <w:rPr>
          <w:rFonts w:hint="eastAsia" w:ascii="Times New Roman" w:hAnsi="Times New Roman" w:eastAsia="仿宋_GB2312" w:cs="仿宋_GB2312"/>
          <w:sz w:val="32"/>
          <w:szCs w:val="32"/>
          <w:lang w:val="en-US" w:eastAsia="zh-CN"/>
        </w:rPr>
        <w:t>53520379</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eastAsia="zh-CN"/>
        </w:rPr>
        <w:t>一、总体情况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仿宋_GB2312" w:cs="Times New Roman"/>
          <w:b w:val="0"/>
          <w:bCs/>
          <w:color w:val="auto"/>
          <w:sz w:val="32"/>
          <w:szCs w:val="32"/>
          <w:lang w:val="en-US" w:eastAsia="zh-CN"/>
        </w:rPr>
      </w:pPr>
      <w:r>
        <w:rPr>
          <w:rFonts w:hint="eastAsia" w:ascii="Times New Roman" w:hAnsi="Times New Roman" w:eastAsia="仿宋_GB2312" w:cs="仿宋_GB2312"/>
          <w:sz w:val="32"/>
          <w:szCs w:val="32"/>
        </w:rPr>
        <w:t>市</w:t>
      </w:r>
      <w:r>
        <w:rPr>
          <w:rFonts w:hint="eastAsia" w:ascii="Times New Roman" w:hAnsi="Times New Roman" w:eastAsia="仿宋_GB2312" w:cs="仿宋_GB2312"/>
          <w:sz w:val="32"/>
          <w:szCs w:val="32"/>
          <w:lang w:val="en-US" w:eastAsia="zh-CN"/>
        </w:rPr>
        <w:t>医疗保障</w:t>
      </w:r>
      <w:r>
        <w:rPr>
          <w:rFonts w:hint="eastAsia" w:ascii="Times New Roman" w:hAnsi="Times New Roman" w:eastAsia="仿宋_GB2312" w:cs="仿宋_GB2312"/>
          <w:sz w:val="32"/>
          <w:szCs w:val="32"/>
        </w:rPr>
        <w:t>局深入贯彻落实《202</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rPr>
        <w:t>年政务公开工作要点》等决策部署，</w:t>
      </w:r>
      <w:r>
        <w:rPr>
          <w:rFonts w:hint="default" w:ascii="Times New Roman" w:hAnsi="Times New Roman" w:eastAsia="仿宋_GB2312" w:cs="Times New Roman"/>
          <w:b w:val="0"/>
          <w:bCs/>
          <w:color w:val="auto"/>
          <w:sz w:val="32"/>
          <w:szCs w:val="32"/>
          <w:lang w:val="en-US" w:eastAsia="zh-CN"/>
        </w:rPr>
        <w:t>积极做好政府信息主动公开工作。</w:t>
      </w:r>
      <w:r>
        <w:rPr>
          <w:rFonts w:hint="eastAsia" w:ascii="Times New Roman" w:hAnsi="Times New Roman" w:eastAsia="仿宋_GB2312" w:cs="Times New Roman"/>
          <w:b w:val="0"/>
          <w:bCs/>
          <w:color w:val="auto"/>
          <w:sz w:val="32"/>
          <w:szCs w:val="32"/>
          <w:lang w:val="en-US" w:eastAsia="zh-CN"/>
        </w:rPr>
        <w:t>及时</w:t>
      </w:r>
      <w:r>
        <w:rPr>
          <w:rFonts w:hint="eastAsia" w:ascii="Times New Roman" w:hAnsi="Times New Roman" w:eastAsia="仿宋_GB2312" w:cs="Times New Roman"/>
          <w:b w:val="0"/>
          <w:bCs/>
          <w:color w:val="auto"/>
          <w:sz w:val="32"/>
          <w:szCs w:val="32"/>
          <w:lang w:eastAsia="zh-CN"/>
        </w:rPr>
        <w:t>做好相关栏目政务信息发布，强化政府信息公开力度，</w:t>
      </w:r>
      <w:r>
        <w:rPr>
          <w:rFonts w:hint="default" w:ascii="Times New Roman" w:hAnsi="Times New Roman" w:eastAsia="仿宋_GB2312" w:cs="Times New Roman"/>
          <w:b w:val="0"/>
          <w:bCs/>
          <w:color w:val="auto"/>
          <w:sz w:val="32"/>
          <w:szCs w:val="32"/>
          <w:lang w:val="en-US" w:eastAsia="zh-CN"/>
        </w:rPr>
        <w:t>推动政府信息公开工作不断向规范化方向发展，更好地服务于全市</w:t>
      </w:r>
      <w:r>
        <w:rPr>
          <w:rFonts w:hint="eastAsia" w:ascii="Times New Roman" w:hAnsi="Times New Roman" w:eastAsia="仿宋_GB2312" w:cs="Times New Roman"/>
          <w:b w:val="0"/>
          <w:bCs/>
          <w:color w:val="auto"/>
          <w:sz w:val="32"/>
          <w:szCs w:val="32"/>
          <w:lang w:val="en-US" w:eastAsia="zh-CN"/>
        </w:rPr>
        <w:t>医疗保障事业发展</w:t>
      </w:r>
      <w:r>
        <w:rPr>
          <w:rFonts w:hint="default" w:ascii="Times New Roman" w:hAnsi="Times New Roman" w:eastAsia="仿宋_GB2312" w:cs="Times New Roman"/>
          <w:b w:val="0"/>
          <w:bCs/>
          <w:color w:val="auto"/>
          <w:sz w:val="32"/>
          <w:szCs w:val="32"/>
          <w:lang w:val="en-US" w:eastAsia="zh-CN"/>
        </w:rPr>
        <w:t>和政府自身建设。全年未发生因信息公开导致的行政复议和行政诉讼案件。</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Times New Roman"/>
          <w:b w:val="0"/>
          <w:bCs/>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（一）主动公开情况。</w:t>
      </w:r>
      <w:r>
        <w:rPr>
          <w:rFonts w:hint="default" w:ascii="Times New Roman" w:hAnsi="Times New Roman" w:eastAsia="仿宋_GB2312" w:cs="Times New Roman"/>
          <w:b w:val="0"/>
          <w:bCs/>
          <w:color w:val="auto"/>
          <w:sz w:val="32"/>
          <w:szCs w:val="32"/>
          <w:lang w:val="en-US" w:eastAsia="zh-CN"/>
        </w:rPr>
        <w:t>在政府信息公开网</w:t>
      </w:r>
      <w:r>
        <w:rPr>
          <w:rFonts w:hint="eastAsia" w:ascii="Times New Roman" w:hAnsi="Times New Roman" w:eastAsia="仿宋_GB2312" w:cs="Times New Roman"/>
          <w:b w:val="0"/>
          <w:bCs/>
          <w:color w:val="auto"/>
          <w:sz w:val="32"/>
          <w:szCs w:val="32"/>
          <w:lang w:val="en-US" w:eastAsia="zh-CN"/>
        </w:rPr>
        <w:t>站</w:t>
      </w:r>
      <w:r>
        <w:rPr>
          <w:rFonts w:hint="default" w:ascii="Times New Roman" w:hAnsi="Times New Roman" w:eastAsia="仿宋_GB2312" w:cs="Times New Roman"/>
          <w:b w:val="0"/>
          <w:bCs/>
          <w:color w:val="auto"/>
          <w:sz w:val="32"/>
          <w:szCs w:val="32"/>
          <w:lang w:val="en-US" w:eastAsia="zh-CN"/>
        </w:rPr>
        <w:t>主动发布信息</w:t>
      </w:r>
      <w:r>
        <w:rPr>
          <w:rFonts w:hint="eastAsia" w:ascii="Times New Roman" w:hAnsi="Times New Roman" w:eastAsia="仿宋_GB2312" w:cs="Times New Roman"/>
          <w:b w:val="0"/>
          <w:bCs/>
          <w:color w:val="auto"/>
          <w:sz w:val="32"/>
          <w:szCs w:val="32"/>
          <w:lang w:val="en-US" w:eastAsia="zh-CN"/>
        </w:rPr>
        <w:t>103</w:t>
      </w:r>
      <w:r>
        <w:rPr>
          <w:rFonts w:hint="default" w:ascii="Times New Roman" w:hAnsi="Times New Roman" w:eastAsia="仿宋_GB2312" w:cs="Times New Roman"/>
          <w:b w:val="0"/>
          <w:bCs/>
          <w:color w:val="auto"/>
          <w:sz w:val="32"/>
          <w:szCs w:val="32"/>
          <w:lang w:val="en-US" w:eastAsia="zh-CN"/>
        </w:rPr>
        <w:t>条</w:t>
      </w:r>
      <w:r>
        <w:rPr>
          <w:rFonts w:hint="eastAsia" w:ascii="Times New Roman" w:hAnsi="Times New Roman" w:eastAsia="仿宋_GB2312" w:cs="Times New Roman"/>
          <w:b w:val="0"/>
          <w:bCs/>
          <w:color w:val="auto"/>
          <w:sz w:val="32"/>
          <w:szCs w:val="32"/>
          <w:lang w:val="en-US" w:eastAsia="zh-CN"/>
        </w:rPr>
        <w:t>，“太仓市医疗保障局”微信公众号发布信息183条，</w:t>
      </w:r>
      <w:r>
        <w:rPr>
          <w:rFonts w:hint="eastAsia" w:ascii="Times New Roman" w:hAnsi="Times New Roman" w:eastAsia="仿宋_GB2312" w:cs="Times New Roman"/>
          <w:b w:val="0"/>
          <w:bCs/>
          <w:color w:val="auto"/>
          <w:sz w:val="32"/>
          <w:szCs w:val="32"/>
          <w:lang w:eastAsia="zh-CN"/>
        </w:rPr>
        <w:t>及时做好信息公开的维护和更新工作，提高了群众关注点的回应和解读，</w:t>
      </w:r>
      <w:r>
        <w:rPr>
          <w:rFonts w:hint="default" w:ascii="Times New Roman" w:hAnsi="Times New Roman" w:eastAsia="仿宋_GB2312" w:cs="Times New Roman"/>
          <w:b w:val="0"/>
          <w:bCs/>
          <w:color w:val="auto"/>
          <w:sz w:val="32"/>
          <w:szCs w:val="32"/>
          <w:lang w:val="en-US" w:eastAsia="zh-CN"/>
        </w:rPr>
        <w:t>处理太仓市社会治理联动中心指挥平台派件</w:t>
      </w:r>
      <w:r>
        <w:rPr>
          <w:rFonts w:hint="eastAsia" w:ascii="Times New Roman" w:hAnsi="Times New Roman" w:eastAsia="仿宋_GB2312" w:cs="Times New Roman"/>
          <w:b w:val="0"/>
          <w:bCs/>
          <w:color w:val="auto"/>
          <w:sz w:val="32"/>
          <w:szCs w:val="32"/>
          <w:lang w:val="en-US" w:eastAsia="zh-CN"/>
        </w:rPr>
        <w:t>1844</w:t>
      </w:r>
      <w:r>
        <w:rPr>
          <w:rFonts w:hint="default" w:ascii="Times New Roman" w:hAnsi="Times New Roman" w:eastAsia="仿宋_GB2312" w:cs="Times New Roman"/>
          <w:b w:val="0"/>
          <w:bCs/>
          <w:color w:val="auto"/>
          <w:sz w:val="32"/>
          <w:szCs w:val="32"/>
          <w:lang w:val="en-US" w:eastAsia="zh-CN"/>
        </w:rPr>
        <w:t>件</w:t>
      </w:r>
      <w:r>
        <w:rPr>
          <w:rFonts w:hint="eastAsia" w:ascii="Times New Roman" w:hAnsi="Times New Roman" w:eastAsia="仿宋_GB2312" w:cs="Times New Roman"/>
          <w:b w:val="0"/>
          <w:bCs/>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楷体_GB2312" w:hAnsi="楷体_GB2312" w:eastAsia="楷体_GB2312" w:cs="楷体_GB2312"/>
          <w:b w:val="0"/>
          <w:bCs/>
          <w:color w:val="auto"/>
          <w:sz w:val="32"/>
          <w:szCs w:val="32"/>
          <w:lang w:val="en-US" w:eastAsia="zh-CN"/>
        </w:rPr>
        <w:t>（二）依申请公开办理情况。</w:t>
      </w:r>
      <w:r>
        <w:rPr>
          <w:rFonts w:hint="eastAsia" w:ascii="Times New Roman" w:hAnsi="Times New Roman" w:eastAsia="仿宋_GB2312" w:cs="Times New Roman"/>
          <w:color w:val="auto"/>
          <w:sz w:val="32"/>
          <w:szCs w:val="32"/>
          <w:lang w:val="en-US" w:eastAsia="zh-CN"/>
        </w:rPr>
        <w:t>全年共受理政府信息依申请公开1件，已答复1件，确保了</w:t>
      </w:r>
      <w:r>
        <w:rPr>
          <w:rFonts w:hint="eastAsia" w:ascii="Times New Roman" w:hAnsi="Times New Roman" w:eastAsia="仿宋_GB2312" w:cs="Times New Roman"/>
          <w:color w:val="auto"/>
          <w:sz w:val="32"/>
          <w:szCs w:val="32"/>
          <w:lang w:eastAsia="zh-CN"/>
        </w:rPr>
        <w:t>群众的知情权、参与权和监督权。无提起行政诉讼的情况。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二、</w:t>
      </w:r>
      <w:r>
        <w:rPr>
          <w:rFonts w:hint="eastAsia" w:ascii="黑体" w:hAnsi="黑体" w:eastAsia="黑体" w:cs="黑体"/>
          <w:b w:val="0"/>
          <w:bCs/>
          <w:color w:val="auto"/>
          <w:sz w:val="32"/>
          <w:szCs w:val="32"/>
          <w:lang w:eastAsia="zh-CN"/>
        </w:rPr>
        <w:t>主动公开政府信息情况</w:t>
      </w:r>
    </w:p>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Layout w:type="autofit"/>
        <w:tblCellMar>
          <w:top w:w="45" w:type="dxa"/>
          <w:left w:w="0" w:type="dxa"/>
          <w:bottom w:w="0" w:type="dxa"/>
          <w:right w:w="0" w:type="dxa"/>
        </w:tblCellMar>
      </w:tblPr>
      <w:tblGrid>
        <w:gridCol w:w="2530"/>
        <w:gridCol w:w="2180"/>
        <w:gridCol w:w="2180"/>
        <w:gridCol w:w="2193"/>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395"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第二十条第（一）项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578"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信息内容</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w:t>
            </w:r>
            <w:r>
              <w:rPr>
                <w:rFonts w:hint="eastAsia" w:ascii="宋体" w:hAnsi="宋体" w:eastAsia="宋体" w:cs="宋体"/>
                <w:i w:val="0"/>
                <w:iCs w:val="0"/>
                <w:caps w:val="0"/>
                <w:color w:val="333333"/>
                <w:spacing w:val="0"/>
                <w:kern w:val="0"/>
                <w:sz w:val="20"/>
                <w:szCs w:val="20"/>
                <w:lang w:val="en-US" w:eastAsia="zh-CN" w:bidi="ar"/>
              </w:rPr>
              <w:t>制发件数</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本年废止件数</w:t>
            </w:r>
          </w:p>
        </w:tc>
        <w:tc>
          <w:tcPr>
            <w:tcW w:w="1204"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现行有效件</w:t>
            </w:r>
            <w:r>
              <w:rPr>
                <w:rFonts w:hint="eastAsia" w:ascii="宋体" w:hAnsi="宋体" w:eastAsia="宋体" w:cs="宋体"/>
                <w:i w:val="0"/>
                <w:iCs w:val="0"/>
                <w:caps w:val="0"/>
                <w:color w:val="333333"/>
                <w:spacing w:val="0"/>
                <w:kern w:val="0"/>
                <w:sz w:val="20"/>
                <w:szCs w:val="20"/>
                <w:lang w:val="en-US" w:eastAsia="zh-CN" w:bidi="ar"/>
              </w:rPr>
              <w:t>数</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502"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规章</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c>
          <w:tcPr>
            <w:tcW w:w="1204"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333333"/>
                <w:spacing w:val="0"/>
                <w:kern w:val="0"/>
                <w:sz w:val="21"/>
                <w:szCs w:val="21"/>
                <w:lang w:val="en-US" w:eastAsia="zh-CN" w:bidi="ar"/>
              </w:rPr>
              <w:t>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52"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行政规范性文件</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Times New Roman" w:hAnsi="Times New Roman" w:eastAsia="微软雅黑" w:cs="Times New Roman"/>
                <w:i w:val="0"/>
                <w:iCs w:val="0"/>
                <w:caps w:val="0"/>
                <w:color w:val="000000"/>
                <w:spacing w:val="0"/>
                <w:kern w:val="0"/>
                <w:sz w:val="20"/>
                <w:szCs w:val="20"/>
                <w:lang w:val="en-US" w:eastAsia="zh-CN" w:bidi="ar"/>
              </w:rPr>
              <w:t>0</w:t>
            </w:r>
          </w:p>
        </w:tc>
        <w:tc>
          <w:tcPr>
            <w:tcW w:w="1200"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Times New Roman" w:hAnsi="Times New Roman" w:eastAsia="微软雅黑" w:cs="Times New Roman"/>
                <w:i w:val="0"/>
                <w:iCs w:val="0"/>
                <w:caps w:val="0"/>
                <w:color w:val="333333"/>
                <w:spacing w:val="0"/>
                <w:kern w:val="0"/>
                <w:sz w:val="24"/>
                <w:szCs w:val="24"/>
                <w:lang w:val="en-US" w:eastAsia="zh-CN" w:bidi="ar"/>
              </w:rPr>
              <w:t>0</w:t>
            </w:r>
          </w:p>
        </w:tc>
        <w:tc>
          <w:tcPr>
            <w:tcW w:w="1204"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eastAsiaTheme="minorEastAsia"/>
                <w:lang w:val="en-US" w:eastAsia="zh-CN"/>
              </w:rPr>
            </w:pPr>
            <w:r>
              <w:rPr>
                <w:rFonts w:hint="eastAsia"/>
                <w:lang w:val="en-US" w:eastAsia="zh-CN"/>
              </w:rPr>
              <w:t>16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77"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第二十条第（五）项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15"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信息内容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本年处理决定数量</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28"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行政许可</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333333"/>
                <w:spacing w:val="0"/>
                <w:kern w:val="0"/>
                <w:sz w:val="21"/>
                <w:szCs w:val="21"/>
                <w:lang w:val="en-US" w:eastAsia="zh-CN" w:bidi="ar"/>
              </w:rPr>
              <w:t>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90"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第二十条第（六）项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40"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信息内容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本年处理决定数量</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27"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行政处罚</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Times New Roman" w:hAnsi="Times New Roman" w:eastAsia="微软雅黑" w:cs="Times New Roman"/>
                <w:i w:val="0"/>
                <w:iCs w:val="0"/>
                <w:caps w:val="0"/>
                <w:color w:val="000000"/>
                <w:spacing w:val="0"/>
                <w:kern w:val="0"/>
                <w:sz w:val="20"/>
                <w:szCs w:val="20"/>
                <w:lang w:val="en-US" w:eastAsia="zh-CN" w:bidi="ar"/>
              </w:rPr>
              <w:t>2</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FFFFFF"/>
          <w:tblCellMar>
            <w:top w:w="45" w:type="dxa"/>
            <w:left w:w="0" w:type="dxa"/>
            <w:bottom w:w="0" w:type="dxa"/>
            <w:right w:w="0" w:type="dxa"/>
          </w:tblCellMar>
        </w:tblPrEx>
        <w:trPr>
          <w:trHeight w:val="415"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行政强制</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000000"/>
                <w:spacing w:val="0"/>
                <w:kern w:val="0"/>
                <w:sz w:val="20"/>
                <w:szCs w:val="20"/>
                <w:lang w:val="en-US" w:eastAsia="zh-CN" w:bidi="ar"/>
              </w:rPr>
              <w:t>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527" w:hRule="atLeast"/>
          <w:jc w:val="center"/>
        </w:trPr>
        <w:tc>
          <w:tcPr>
            <w:tcW w:w="5000" w:type="pct"/>
            <w:gridSpan w:val="4"/>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第二十条第（八）项</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77"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信息内容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本年收费金额（单位：万元）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45" w:type="dxa"/>
            <w:left w:w="0" w:type="dxa"/>
            <w:bottom w:w="0" w:type="dxa"/>
            <w:right w:w="0" w:type="dxa"/>
          </w:tblCellMar>
        </w:tblPrEx>
        <w:trPr>
          <w:trHeight w:val="498" w:hRule="atLeast"/>
          <w:jc w:val="center"/>
        </w:trPr>
        <w:tc>
          <w:tcPr>
            <w:tcW w:w="1393" w:type="pct"/>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eastAsia" w:ascii="宋体" w:hAnsi="宋体" w:eastAsia="宋体" w:cs="宋体"/>
                <w:i w:val="0"/>
                <w:iCs w:val="0"/>
                <w:caps w:val="0"/>
                <w:color w:val="000000"/>
                <w:spacing w:val="0"/>
                <w:kern w:val="0"/>
                <w:sz w:val="20"/>
                <w:szCs w:val="20"/>
                <w:lang w:val="en-US" w:eastAsia="zh-CN" w:bidi="ar"/>
              </w:rPr>
              <w:t>行政事业性收费</w:t>
            </w:r>
          </w:p>
        </w:tc>
        <w:tc>
          <w:tcPr>
            <w:tcW w:w="3606" w:type="pct"/>
            <w:gridSpan w:val="3"/>
            <w:tcBorders>
              <w:top w:val="single" w:color="000000" w:sz="2" w:space="0"/>
              <w:left w:val="single" w:color="000000" w:sz="2" w:space="0"/>
              <w:bottom w:val="single" w:color="000000" w:sz="6" w:space="0"/>
              <w:right w:val="single" w:color="000000" w:sz="6" w:space="0"/>
            </w:tcBorders>
            <w:shd w:val="clear" w:color="auto" w:fill="FFFFFF"/>
            <w:tcMar>
              <w:top w:w="0"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Autospacing="0" w:afterAutospacing="0" w:line="240" w:lineRule="auto"/>
              <w:ind w:left="0" w:right="0"/>
              <w:jc w:val="center"/>
              <w:textAlignment w:val="auto"/>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三、</w:t>
      </w:r>
      <w:r>
        <w:rPr>
          <w:rFonts w:hint="eastAsia" w:ascii="黑体" w:hAnsi="黑体" w:eastAsia="黑体" w:cs="黑体"/>
          <w:b w:val="0"/>
          <w:bCs/>
          <w:color w:val="auto"/>
          <w:sz w:val="32"/>
          <w:szCs w:val="32"/>
          <w:lang w:eastAsia="zh-CN"/>
        </w:rPr>
        <w:t>收到和处理政府信息公开申请情况</w:t>
      </w:r>
    </w:p>
    <w:tbl>
      <w:tblPr>
        <w:tblStyle w:val="3"/>
        <w:tblW w:w="9071" w:type="dxa"/>
        <w:jc w:val="center"/>
        <w:tblLayout w:type="fixed"/>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CellMar>
            <w:top w:w="0" w:type="dxa"/>
            <w:left w:w="0" w:type="dxa"/>
            <w:bottom w:w="0" w:type="dxa"/>
            <w:right w:w="0" w:type="dxa"/>
          </w:tblCellMar>
        </w:tblPrEx>
        <w:trPr>
          <w:tblHeader/>
          <w:jc w:val="center"/>
        </w:trPr>
        <w:tc>
          <w:tcPr>
            <w:tcW w:w="3479"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宋体" w:cs="宋体"/>
                <w:sz w:val="24"/>
              </w:rPr>
            </w:pPr>
            <w:r>
              <w:rPr>
                <w:rFonts w:hint="eastAsia" w:ascii="Times New Roman" w:hAnsi="Times New Roman" w:eastAsia="宋体" w:cs="宋体"/>
                <w:sz w:val="20"/>
                <w:szCs w:val="20"/>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申请人情况</w:t>
            </w:r>
          </w:p>
        </w:tc>
      </w:tr>
      <w:tr>
        <w:tblPrEx>
          <w:tblCellMar>
            <w:top w:w="0" w:type="dxa"/>
            <w:left w:w="0" w:type="dxa"/>
            <w:bottom w:w="0" w:type="dxa"/>
            <w:right w:w="0" w:type="dxa"/>
          </w:tblCellMar>
        </w:tblPrEx>
        <w:trPr>
          <w:tblHeade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2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自然人</w:t>
            </w:r>
          </w:p>
        </w:tc>
        <w:tc>
          <w:tcPr>
            <w:tcW w:w="4065"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法人或其他组织</w:t>
            </w:r>
          </w:p>
        </w:tc>
        <w:tc>
          <w:tcPr>
            <w:tcW w:w="702"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总计</w:t>
            </w:r>
          </w:p>
        </w:tc>
      </w:tr>
      <w:tr>
        <w:tblPrEx>
          <w:tblCellMar>
            <w:top w:w="0" w:type="dxa"/>
            <w:left w:w="0" w:type="dxa"/>
            <w:bottom w:w="0" w:type="dxa"/>
            <w:right w:w="0" w:type="dxa"/>
          </w:tblCellMar>
        </w:tblPrEx>
        <w:trPr>
          <w:trHeight w:val="734" w:hRule="atLeast"/>
          <w:tblHeade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2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ascii="Times New Roman" w:hAnsi="Times New Roman" w:eastAsia="宋体" w:cs="宋体"/>
                <w:sz w:val="24"/>
              </w:rPr>
            </w:pPr>
            <w:r>
              <w:rPr>
                <w:rFonts w:hint="eastAsia" w:ascii="Times New Roman" w:hAnsi="Times New Roman" w:eastAsia="宋体" w:cs="宋体"/>
                <w:sz w:val="20"/>
                <w:szCs w:val="20"/>
              </w:rPr>
              <w:t>商业企业</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ascii="Times New Roman" w:hAnsi="Times New Roman" w:eastAsia="宋体" w:cs="宋体"/>
                <w:sz w:val="24"/>
              </w:rPr>
            </w:pPr>
            <w:r>
              <w:rPr>
                <w:rFonts w:hint="eastAsia" w:ascii="Times New Roman" w:hAnsi="Times New Roman" w:eastAsia="宋体" w:cs="宋体"/>
                <w:sz w:val="20"/>
                <w:szCs w:val="20"/>
              </w:rPr>
              <w:t>科研机构</w:t>
            </w:r>
          </w:p>
        </w:tc>
        <w:tc>
          <w:tcPr>
            <w:tcW w:w="82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ascii="Times New Roman" w:hAnsi="Times New Roman" w:eastAsia="宋体" w:cs="宋体"/>
                <w:sz w:val="24"/>
              </w:rPr>
            </w:pPr>
            <w:r>
              <w:rPr>
                <w:rFonts w:hint="eastAsia" w:ascii="Times New Roman" w:hAnsi="Times New Roman" w:eastAsia="宋体" w:cs="宋体"/>
                <w:sz w:val="20"/>
                <w:szCs w:val="20"/>
              </w:rPr>
              <w:t>社会公益组织</w:t>
            </w:r>
          </w:p>
        </w:tc>
        <w:tc>
          <w:tcPr>
            <w:tcW w:w="9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00" w:lineRule="exact"/>
              <w:jc w:val="center"/>
              <w:rPr>
                <w:rFonts w:ascii="Times New Roman" w:hAnsi="Times New Roman" w:eastAsia="宋体" w:cs="宋体"/>
                <w:sz w:val="24"/>
              </w:rPr>
            </w:pPr>
            <w:r>
              <w:rPr>
                <w:rFonts w:hint="eastAsia" w:ascii="Times New Roman" w:hAnsi="Times New Roman" w:eastAsia="宋体" w:cs="宋体"/>
                <w:sz w:val="20"/>
                <w:szCs w:val="20"/>
              </w:rPr>
              <w:t>法律服务机构</w:t>
            </w:r>
          </w:p>
        </w:tc>
        <w:tc>
          <w:tcPr>
            <w:tcW w:w="72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其他</w:t>
            </w:r>
          </w:p>
        </w:tc>
        <w:tc>
          <w:tcPr>
            <w:tcW w:w="702" w:type="dxa"/>
            <w:vMerge w:val="continue"/>
            <w:tcBorders>
              <w:top w:val="single" w:color="auto" w:sz="8" w:space="0"/>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宋体" w:cs="宋体"/>
                <w:sz w:val="20"/>
                <w:szCs w:val="20"/>
              </w:rPr>
              <w:t>一、本年新收政府信息公开申请数量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eastAsia" w:ascii="Times New Roman" w:hAnsi="Times New Roman" w:eastAsia="宋体" w:cs="宋体"/>
                <w:sz w:val="24"/>
                <w:lang w:eastAsia="zh-CN"/>
              </w:rPr>
            </w:pPr>
            <w:r>
              <w:rPr>
                <w:rFonts w:hint="eastAsia" w:ascii="Times New Roman" w:hAnsi="Times New Roman" w:eastAsia="宋体" w:cs="宋体"/>
                <w:sz w:val="24"/>
                <w:lang w:val="en-US" w:eastAsia="zh-CN"/>
              </w:rPr>
              <w:t>1</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eastAsia" w:ascii="Times New Roman" w:hAnsi="Times New Roman" w:eastAsia="宋体" w:cs="宋体"/>
                <w:sz w:val="24"/>
                <w:lang w:eastAsia="zh-CN"/>
              </w:rPr>
            </w:pPr>
            <w:r>
              <w:rPr>
                <w:rFonts w:hint="eastAsia" w:ascii="Times New Roman" w:hAnsi="Times New Roman" w:eastAsia="宋体" w:cs="宋体"/>
                <w:sz w:val="24"/>
                <w:lang w:val="en-US" w:eastAsia="zh-CN"/>
              </w:rPr>
              <w:t>1</w:t>
            </w:r>
          </w:p>
        </w:tc>
      </w:tr>
      <w:tr>
        <w:tblPrEx>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宋体" w:cs="宋体"/>
                <w:sz w:val="20"/>
                <w:szCs w:val="20"/>
              </w:rPr>
              <w:t>二、上年结转政府信息公开申请数量</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三、本年度办理结果</w:t>
            </w:r>
          </w:p>
        </w:tc>
        <w:tc>
          <w:tcPr>
            <w:tcW w:w="2985" w:type="dxa"/>
            <w:gridSpan w:val="2"/>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（一）予以公开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eastAsia" w:ascii="Times New Roman" w:hAnsi="Times New Roman" w:eastAsia="宋体" w:cs="宋体"/>
                <w:sz w:val="24"/>
                <w:lang w:eastAsia="zh-CN"/>
              </w:rPr>
            </w:pPr>
            <w:r>
              <w:rPr>
                <w:rFonts w:hint="eastAsia" w:ascii="Times New Roman" w:hAnsi="Times New Roman" w:eastAsia="宋体" w:cs="宋体"/>
                <w:sz w:val="24"/>
                <w:lang w:val="en-US" w:eastAsia="zh-CN"/>
              </w:rPr>
              <w:t>1</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hint="eastAsia" w:ascii="Times New Roman" w:hAnsi="Times New Roman" w:eastAsia="宋体" w:cs="宋体"/>
                <w:sz w:val="24"/>
                <w:lang w:eastAsia="zh-CN"/>
              </w:rPr>
            </w:pPr>
            <w:r>
              <w:rPr>
                <w:rFonts w:hint="eastAsia" w:ascii="Times New Roman" w:hAnsi="Times New Roman" w:eastAsia="宋体" w:cs="宋体"/>
                <w:sz w:val="24"/>
                <w:lang w:val="en-US" w:eastAsia="zh-CN"/>
              </w:rPr>
              <w:t>1</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985" w:type="dxa"/>
            <w:gridSpan w:val="2"/>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（二）部分公开（区分处理的，只计这一情形，不计其他情形）</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（三）不予公开</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1.属于国家秘密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2.其他法律行政法规禁止公开</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3.危及“三安全一稳定”</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4.保护第三方合法权益</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5.属于三类内部事务信息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6.属于四类过程性信息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7.属于行政执法案卷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8.属于行政查询事项</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（四）无法提供</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1.本机关不掌握相关政府信息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2.没有现成信息需要另行制作</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3.补正后申请内容仍不明确</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（五）不予处理</w:t>
            </w: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1.信访举报投诉类申请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2.重复申请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3.要求提供公开出版物</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4.无正当理由大量反复申请</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855" w:type="dxa"/>
            <w:vMerge w:val="continue"/>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1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5.要求行政机关确认或重新出具已获取信息</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985" w:type="dxa"/>
            <w:gridSpan w:val="2"/>
            <w:tcBorders>
              <w:top w:val="nil"/>
              <w:left w:val="nil"/>
              <w:bottom w:val="single" w:color="auto" w:sz="8"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（六）其他处理</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r>
        <w:tblPrEx>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4" w:space="0"/>
              <w:right w:val="single" w:color="auto" w:sz="8" w:space="0"/>
            </w:tcBorders>
            <w:vAlign w:val="center"/>
          </w:tcPr>
          <w:p>
            <w:pPr>
              <w:widowControl/>
              <w:spacing w:line="260" w:lineRule="exact"/>
              <w:jc w:val="left"/>
              <w:rPr>
                <w:rFonts w:ascii="Times New Roman" w:hAnsi="Times New Roman" w:eastAsia="宋体" w:cs="宋体"/>
                <w:sz w:val="24"/>
              </w:rPr>
            </w:pPr>
          </w:p>
        </w:tc>
        <w:tc>
          <w:tcPr>
            <w:tcW w:w="2985" w:type="dxa"/>
            <w:gridSpan w:val="2"/>
            <w:tcBorders>
              <w:top w:val="nil"/>
              <w:left w:val="nil"/>
              <w:bottom w:val="single" w:color="auto" w:sz="4" w:space="0"/>
              <w:right w:val="single" w:color="auto" w:sz="8" w:space="0"/>
            </w:tcBorders>
            <w:vAlign w:val="center"/>
          </w:tcPr>
          <w:p>
            <w:pPr>
              <w:widowControl/>
              <w:spacing w:line="260" w:lineRule="exact"/>
              <w:jc w:val="left"/>
              <w:rPr>
                <w:rFonts w:ascii="Times New Roman" w:hAnsi="Times New Roman" w:eastAsia="宋体" w:cs="宋体"/>
                <w:sz w:val="24"/>
              </w:rPr>
            </w:pPr>
            <w:r>
              <w:rPr>
                <w:rFonts w:hint="eastAsia" w:ascii="Times New Roman" w:hAnsi="Times New Roman" w:eastAsia="楷体" w:cs="宋体"/>
                <w:sz w:val="20"/>
                <w:szCs w:val="20"/>
              </w:rPr>
              <w:t>（七）总计</w:t>
            </w:r>
          </w:p>
        </w:tc>
        <w:tc>
          <w:tcPr>
            <w:tcW w:w="82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eastAsia" w:ascii="Times New Roman" w:hAnsi="Times New Roman" w:eastAsia="宋体" w:cs="宋体"/>
                <w:sz w:val="24"/>
                <w:lang w:eastAsia="zh-CN"/>
              </w:rPr>
            </w:pPr>
            <w:r>
              <w:rPr>
                <w:rFonts w:hint="eastAsia" w:ascii="Times New Roman" w:hAnsi="Times New Roman" w:eastAsia="宋体" w:cs="宋体"/>
                <w:sz w:val="24"/>
                <w:lang w:val="en-US" w:eastAsia="zh-CN"/>
              </w:rPr>
              <w:t>1</w:t>
            </w:r>
          </w:p>
        </w:tc>
        <w:tc>
          <w:tcPr>
            <w:tcW w:w="76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nil"/>
              <w:left w:val="nil"/>
              <w:bottom w:val="single" w:color="auto" w:sz="4" w:space="0"/>
              <w:right w:val="single" w:color="auto" w:sz="8" w:space="0"/>
            </w:tcBorders>
            <w:tcMar>
              <w:top w:w="0" w:type="dxa"/>
              <w:left w:w="108" w:type="dxa"/>
              <w:bottom w:w="0" w:type="dxa"/>
              <w:right w:w="108" w:type="dxa"/>
            </w:tcMar>
            <w:vAlign w:val="center"/>
          </w:tcPr>
          <w:p>
            <w:pPr>
              <w:widowControl/>
              <w:spacing w:line="260" w:lineRule="exact"/>
              <w:jc w:val="center"/>
              <w:rPr>
                <w:rFonts w:hint="default" w:ascii="Times New Roman" w:hAnsi="Times New Roman" w:eastAsia="宋体" w:cs="宋体"/>
                <w:sz w:val="24"/>
                <w:lang w:val="en-US" w:eastAsia="zh-CN"/>
              </w:rPr>
            </w:pPr>
            <w:r>
              <w:rPr>
                <w:rFonts w:hint="eastAsia" w:ascii="Times New Roman" w:hAnsi="Times New Roman" w:eastAsia="宋体" w:cs="宋体"/>
                <w:sz w:val="24"/>
                <w:lang w:val="en-US" w:eastAsia="zh-CN"/>
              </w:rPr>
              <w:t>1</w:t>
            </w:r>
            <w:bookmarkStart w:id="0" w:name="_GoBack"/>
            <w:bookmarkEnd w:id="0"/>
          </w:p>
        </w:tc>
      </w:tr>
      <w:tr>
        <w:tblPrEx>
          <w:tblCellMar>
            <w:top w:w="0" w:type="dxa"/>
            <w:left w:w="0" w:type="dxa"/>
            <w:bottom w:w="0" w:type="dxa"/>
            <w:right w:w="0" w:type="dxa"/>
          </w:tblCellMar>
        </w:tblPrEx>
        <w:trPr>
          <w:jc w:val="center"/>
        </w:trPr>
        <w:tc>
          <w:tcPr>
            <w:tcW w:w="3479"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0"/>
                <w:szCs w:val="20"/>
              </w:rPr>
              <w:t>四、结转下年度继续办理</w:t>
            </w:r>
          </w:p>
        </w:tc>
        <w:tc>
          <w:tcPr>
            <w:tcW w:w="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6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82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99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2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c>
          <w:tcPr>
            <w:tcW w:w="70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260" w:lineRule="exact"/>
              <w:jc w:val="center"/>
              <w:rPr>
                <w:rFonts w:ascii="Times New Roman" w:hAnsi="Times New Roman" w:eastAsia="宋体" w:cs="宋体"/>
                <w:sz w:val="24"/>
              </w:rPr>
            </w:pPr>
            <w:r>
              <w:rPr>
                <w:rFonts w:hint="eastAsia" w:ascii="Times New Roman" w:hAnsi="Times New Roman" w:eastAsia="宋体" w:cs="宋体"/>
                <w:sz w:val="24"/>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四、</w:t>
      </w:r>
      <w:r>
        <w:rPr>
          <w:rFonts w:hint="eastAsia" w:ascii="黑体" w:hAnsi="黑体" w:eastAsia="黑体" w:cs="黑体"/>
          <w:b w:val="0"/>
          <w:bCs/>
          <w:color w:val="auto"/>
          <w:sz w:val="32"/>
          <w:szCs w:val="32"/>
          <w:lang w:eastAsia="zh-CN"/>
        </w:rPr>
        <w:t>政府信息公开行政复议、行政诉讼情况</w:t>
      </w:r>
    </w:p>
    <w:tbl>
      <w:tblPr>
        <w:tblStyle w:val="3"/>
        <w:tblW w:w="9071" w:type="dxa"/>
        <w:jc w:val="center"/>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复议后起诉</w:t>
            </w:r>
          </w:p>
        </w:tc>
      </w:tr>
      <w:tr>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604" w:type="dxa"/>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604" w:type="dxa"/>
            <w:vMerge w:val="continue"/>
            <w:tcBorders>
              <w:top w:val="single" w:color="auto" w:sz="8" w:space="0"/>
              <w:left w:val="nil"/>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658" w:type="dxa"/>
            <w:vMerge w:val="continue"/>
            <w:tcBorders>
              <w:top w:val="single" w:color="auto" w:sz="8" w:space="0"/>
              <w:left w:val="nil"/>
              <w:bottom w:val="single" w:color="auto" w:sz="8" w:space="0"/>
              <w:right w:val="single" w:color="auto" w:sz="8" w:space="0"/>
            </w:tcBorders>
            <w:vAlign w:val="center"/>
          </w:tcPr>
          <w:p>
            <w:pPr>
              <w:widowControl/>
              <w:jc w:val="left"/>
              <w:rPr>
                <w:rFonts w:ascii="Times New Roman" w:hAnsi="Times New Roman" w:eastAsia="宋体" w:cs="宋体"/>
                <w:sz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color w:val="00000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color w:val="00000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color w:val="00000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宋体"/>
                <w:sz w:val="24"/>
              </w:rPr>
            </w:pPr>
            <w:r>
              <w:rPr>
                <w:rFonts w:hint="eastAsia" w:ascii="Times New Roman" w:hAnsi="Times New Roman" w:eastAsia="宋体" w:cs="宋体"/>
                <w:sz w:val="24"/>
              </w:rPr>
              <w:t>0</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五、</w:t>
      </w:r>
      <w:r>
        <w:rPr>
          <w:rFonts w:hint="eastAsia" w:ascii="黑体" w:hAnsi="黑体" w:eastAsia="黑体" w:cs="黑体"/>
          <w:b w:val="0"/>
          <w:bCs/>
          <w:color w:val="auto"/>
          <w:sz w:val="32"/>
          <w:szCs w:val="32"/>
          <w:lang w:eastAsia="zh-CN"/>
        </w:rPr>
        <w:t>存在的主要问题及改进情况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_GB2312" w:cs="仿宋_GB2312"/>
          <w:sz w:val="32"/>
          <w:szCs w:val="32"/>
        </w:rPr>
      </w:pPr>
      <w:r>
        <w:rPr>
          <w:rFonts w:hint="eastAsia" w:ascii="仿宋_GB2312" w:hAnsi="仿宋_GB2312" w:eastAsia="仿宋_GB2312" w:cs="仿宋_GB2312"/>
          <w:sz w:val="32"/>
          <w:szCs w:val="32"/>
        </w:rPr>
        <w:t>政府网站和政务新媒体信息员队伍建设有所欠缺，公开内容和形式还不够丰富。下阶段将重点做好以下工作：</w:t>
      </w:r>
      <w:r>
        <w:rPr>
          <w:rFonts w:hint="eastAsia" w:ascii="仿宋_GB2312" w:hAnsi="仿宋_GB2312" w:eastAsia="仿宋_GB2312" w:cs="仿宋_GB2312"/>
          <w:sz w:val="32"/>
          <w:szCs w:val="32"/>
          <w:lang w:val="en-US" w:eastAsia="zh-CN"/>
        </w:rPr>
        <w:t>一方面，</w:t>
      </w:r>
      <w:r>
        <w:rPr>
          <w:rFonts w:hint="eastAsia" w:ascii="Times New Roman" w:hAnsi="Times New Roman" w:eastAsia="仿宋_GB2312" w:cs="仿宋_GB2312"/>
          <w:sz w:val="32"/>
          <w:szCs w:val="32"/>
        </w:rPr>
        <w:t>深化政务公开标准化规范化建设。认真贯彻落实上级关于基层政务公开标准化规范化建设的统一部署和有关要求，不断完善工作机制、公开平台、专业队伍，全面提升基层政务公开标准化规范化水平。</w:t>
      </w:r>
      <w:r>
        <w:rPr>
          <w:rFonts w:hint="eastAsia" w:ascii="Times New Roman" w:hAnsi="Times New Roman" w:eastAsia="仿宋_GB2312" w:cs="仿宋_GB2312"/>
          <w:sz w:val="32"/>
          <w:szCs w:val="32"/>
          <w:lang w:val="en-US" w:eastAsia="zh-CN"/>
        </w:rPr>
        <w:t>另一方面，</w:t>
      </w:r>
      <w:r>
        <w:rPr>
          <w:rFonts w:hint="eastAsia" w:ascii="Times New Roman" w:hAnsi="Times New Roman" w:eastAsia="仿宋_GB2312" w:cs="仿宋_GB2312"/>
          <w:sz w:val="32"/>
          <w:szCs w:val="32"/>
        </w:rPr>
        <w:t>加强与相关部门的沟通与交流，提高对政府信息公开工作的重视，努力将信息收集与公开同步进行，确保信息的及时、准确、全面；加强对信息员的培训，</w:t>
      </w:r>
      <w:r>
        <w:rPr>
          <w:rFonts w:hint="eastAsia" w:ascii="Times New Roman" w:hAnsi="Times New Roman" w:eastAsia="仿宋_GB2312" w:cs="仿宋_GB2312"/>
          <w:sz w:val="32"/>
          <w:szCs w:val="32"/>
          <w:lang w:val="en-US" w:eastAsia="zh-CN"/>
        </w:rPr>
        <w:t>通过参加</w:t>
      </w:r>
      <w:r>
        <w:rPr>
          <w:rFonts w:hint="eastAsia" w:ascii="Times New Roman" w:hAnsi="Times New Roman" w:eastAsia="仿宋_GB2312" w:cs="仿宋_GB2312"/>
          <w:sz w:val="32"/>
          <w:szCs w:val="32"/>
        </w:rPr>
        <w:t>多种形式的业务培训班、座谈会，着力提高政务公开工作人员的认识水平和工作能力。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六、人大代表建议和政协委员提案办理结果公开情况</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2021年，我市通过门户网站主页专栏的形式，对相关建议提案办理结果进行了公开，地址分别为：</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"http://www.taicang.gov.cn/taicang/srddbjy/tt.shtml和http:/www.taicang.gov.cn/taicang/szxta/tt.shtml。" </w:instrText>
      </w:r>
      <w:r>
        <w:rPr>
          <w:rFonts w:hint="eastAsia" w:ascii="仿宋_GB2312" w:hAnsi="仿宋_GB2312" w:eastAsia="仿宋_GB2312" w:cs="仿宋_GB2312"/>
          <w:sz w:val="32"/>
          <w:szCs w:val="32"/>
          <w:lang w:val="en-US" w:eastAsia="zh-CN"/>
        </w:rPr>
        <w:fldChar w:fldCharType="separate"/>
      </w:r>
      <w:r>
        <w:rPr>
          <w:rStyle w:val="8"/>
          <w:rFonts w:hint="eastAsia" w:ascii="仿宋_GB2312" w:hAnsi="仿宋_GB2312" w:eastAsia="仿宋_GB2312" w:cs="仿宋_GB2312"/>
          <w:sz w:val="32"/>
          <w:szCs w:val="32"/>
          <w:lang w:val="en-US" w:eastAsia="zh-CN"/>
        </w:rPr>
        <w:t>http://www.taicang.gov.cn/taicang/srddbjy/tt.shtml和http://www.taicang.gov.cn/taicang/szxta/tt.shtml。</w:t>
      </w:r>
      <w:r>
        <w:rPr>
          <w:rFonts w:hint="eastAsia" w:ascii="仿宋_GB2312" w:hAnsi="仿宋_GB2312" w:eastAsia="仿宋_GB2312" w:cs="仿宋_GB2312"/>
          <w:sz w:val="32"/>
          <w:szCs w:val="32"/>
          <w:lang w:val="en-US" w:eastAsia="zh-CN"/>
        </w:rPr>
        <w:fldChar w:fldCharType="end"/>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仿宋_GB2312"/>
          <w:sz w:val="32"/>
          <w:szCs w:val="32"/>
          <w:lang w:val="en-US" w:eastAsia="zh-CN"/>
        </w:rPr>
        <w:t>全年未收到人大建议交办件，主</w:t>
      </w:r>
      <w:r>
        <w:rPr>
          <w:rFonts w:hint="eastAsia" w:ascii="Times New Roman" w:hAnsi="Times New Roman" w:eastAsia="仿宋_GB2312" w:cs="仿宋_GB2312"/>
          <w:sz w:val="32"/>
          <w:szCs w:val="32"/>
        </w:rPr>
        <w:t>办政协提案</w:t>
      </w:r>
      <w:r>
        <w:rPr>
          <w:rFonts w:hint="eastAsia" w:ascii="Times New Roman" w:hAnsi="Times New Roman" w:eastAsia="仿宋_GB2312" w:cs="仿宋_GB2312"/>
          <w:sz w:val="32"/>
          <w:szCs w:val="32"/>
          <w:lang w:val="en-US" w:eastAsia="zh-CN"/>
        </w:rPr>
        <w:t>交办件1</w:t>
      </w:r>
      <w:r>
        <w:rPr>
          <w:rFonts w:hint="eastAsia" w:ascii="Times New Roman" w:hAnsi="Times New Roman" w:eastAsia="仿宋_GB2312" w:cs="仿宋_GB2312"/>
          <w:sz w:val="32"/>
          <w:szCs w:val="32"/>
        </w:rPr>
        <w:t>件，无</w:t>
      </w:r>
      <w:r>
        <w:rPr>
          <w:rFonts w:hint="eastAsia" w:ascii="Times New Roman" w:hAnsi="Times New Roman" w:eastAsia="仿宋_GB2312" w:cs="仿宋_GB2312"/>
          <w:sz w:val="32"/>
          <w:szCs w:val="32"/>
          <w:lang w:val="en-US" w:eastAsia="zh-CN"/>
        </w:rPr>
        <w:t>协</w:t>
      </w:r>
      <w:r>
        <w:rPr>
          <w:rFonts w:hint="eastAsia" w:ascii="Times New Roman" w:hAnsi="Times New Roman" w:eastAsia="仿宋_GB2312" w:cs="仿宋_GB2312"/>
          <w:sz w:val="32"/>
          <w:szCs w:val="32"/>
        </w:rPr>
        <w:t>办件。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color w:val="auto"/>
          <w:sz w:val="32"/>
          <w:szCs w:val="32"/>
          <w:lang w:eastAsia="zh-CN"/>
        </w:rPr>
      </w:pPr>
      <w:r>
        <w:rPr>
          <w:rFonts w:hint="eastAsia" w:ascii="黑体" w:hAnsi="黑体" w:eastAsia="黑体" w:cs="黑体"/>
          <w:b w:val="0"/>
          <w:bCs/>
          <w:color w:val="auto"/>
          <w:sz w:val="32"/>
          <w:szCs w:val="32"/>
          <w:lang w:val="en-US" w:eastAsia="zh-CN"/>
        </w:rPr>
        <w:t>七、</w:t>
      </w:r>
      <w:r>
        <w:rPr>
          <w:rFonts w:hint="eastAsia" w:ascii="黑体" w:hAnsi="黑体" w:eastAsia="黑体" w:cs="黑体"/>
          <w:b w:val="0"/>
          <w:bCs/>
          <w:color w:val="auto"/>
          <w:sz w:val="32"/>
          <w:szCs w:val="32"/>
          <w:lang w:eastAsia="zh-CN"/>
        </w:rPr>
        <w:t>其他需要报告的事项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本机关在办理2021年度信息公开申请中未收取信息处理费。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sz w:val="32"/>
          <w:szCs w:val="32"/>
        </w:rPr>
      </w:pPr>
    </w:p>
    <w:tbl>
      <w:tblPr>
        <w:tblStyle w:val="4"/>
        <w:tblW w:w="0" w:type="auto"/>
        <w:tblInd w:w="53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66"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仿宋_GB2312"/>
                <w:sz w:val="32"/>
                <w:szCs w:val="32"/>
                <w:vertAlign w:val="baseline"/>
                <w:lang w:val="en-US" w:eastAsia="zh-CN"/>
              </w:rPr>
            </w:pPr>
            <w:r>
              <w:rPr>
                <w:rFonts w:hint="eastAsia" w:ascii="Times New Roman" w:hAnsi="Times New Roman" w:eastAsia="仿宋_GB2312" w:cs="仿宋_GB2312"/>
                <w:sz w:val="32"/>
                <w:szCs w:val="32"/>
                <w:vertAlign w:val="baseline"/>
                <w:lang w:val="en-US" w:eastAsia="zh-CN"/>
              </w:rPr>
              <w:t>太仓市医疗保障局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66"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仿宋_GB2312"/>
                <w:sz w:val="32"/>
                <w:szCs w:val="32"/>
                <w:vertAlign w:val="baseline"/>
                <w:lang w:val="en-US" w:eastAsia="zh-CN"/>
              </w:rPr>
            </w:pPr>
            <w:r>
              <w:rPr>
                <w:rFonts w:hint="eastAsia" w:ascii="Times New Roman" w:hAnsi="Times New Roman" w:eastAsia="仿宋_GB2312" w:cs="仿宋_GB2312"/>
                <w:sz w:val="32"/>
                <w:szCs w:val="32"/>
                <w:vertAlign w:val="baseline"/>
                <w:lang w:val="en-US" w:eastAsia="zh-CN"/>
              </w:rPr>
              <w:t>2022年1月29日</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sz w:val="32"/>
          <w:szCs w:val="32"/>
          <w:lang w:val="en-US" w:eastAsia="zh-CN"/>
        </w:rPr>
      </w:pPr>
    </w:p>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0166418-F8DA-4C00-B325-BF6B39A387D5}"/>
  </w:font>
  <w:font w:name="Arial">
    <w:panose1 w:val="020B0604020202020204"/>
    <w:charset w:val="01"/>
    <w:family w:val="swiss"/>
    <w:pitch w:val="default"/>
    <w:sig w:usb0="E0002EFF" w:usb1="C000785B" w:usb2="00000009" w:usb3="00000000" w:csb0="400001FF" w:csb1="FFFF0000"/>
    <w:embedRegular r:id="rId2" w:fontKey="{8321E204-D953-4CAC-8622-605378CE40FD}"/>
  </w:font>
  <w:font w:name="黑体">
    <w:panose1 w:val="02010609060101010101"/>
    <w:charset w:val="86"/>
    <w:family w:val="auto"/>
    <w:pitch w:val="default"/>
    <w:sig w:usb0="800002BF" w:usb1="38CF7CFA" w:usb2="00000016" w:usb3="00000000" w:csb0="00040001" w:csb1="00000000"/>
    <w:embedRegular r:id="rId3" w:fontKey="{8AE8A538-3234-458C-BE41-F4755E95B92F}"/>
  </w:font>
  <w:font w:name="Courier New">
    <w:panose1 w:val="02070309020205020404"/>
    <w:charset w:val="01"/>
    <w:family w:val="modern"/>
    <w:pitch w:val="default"/>
    <w:sig w:usb0="E0002EFF" w:usb1="C0007843" w:usb2="00000009" w:usb3="00000000" w:csb0="400001FF" w:csb1="FFFF0000"/>
    <w:embedRegular r:id="rId4" w:fontKey="{8130D3D6-FF9F-46C1-8E15-13F8436EEF65}"/>
  </w:font>
  <w:font w:name="Symbol">
    <w:panose1 w:val="05050102010706020507"/>
    <w:charset w:val="02"/>
    <w:family w:val="roman"/>
    <w:pitch w:val="default"/>
    <w:sig w:usb0="00000000" w:usb1="00000000" w:usb2="00000000" w:usb3="00000000" w:csb0="80000000" w:csb1="00000000"/>
    <w:embedRegular r:id="rId5" w:fontKey="{ADC5BC6C-2F3D-4D1C-9A54-AB70FF6231EE}"/>
  </w:font>
  <w:font w:name="Calibri">
    <w:panose1 w:val="020F0502020204030204"/>
    <w:charset w:val="00"/>
    <w:family w:val="swiss"/>
    <w:pitch w:val="default"/>
    <w:sig w:usb0="E4002EFF" w:usb1="C000247B" w:usb2="00000009" w:usb3="00000000" w:csb0="200001FF" w:csb1="00000000"/>
    <w:embedRegular r:id="rId6" w:fontKey="{6F71CC4C-4C22-4A7F-8309-E99F3569A153}"/>
  </w:font>
  <w:font w:name="方正大标宋简体">
    <w:panose1 w:val="03000509000000000000"/>
    <w:charset w:val="86"/>
    <w:family w:val="auto"/>
    <w:pitch w:val="default"/>
    <w:sig w:usb0="00000001" w:usb1="080E0000" w:usb2="00000000" w:usb3="00000000" w:csb0="00040000" w:csb1="00000000"/>
    <w:embedRegular r:id="rId7" w:fontKey="{8E622C37-42CF-4C25-B98D-515FE5B2F6B7}"/>
  </w:font>
  <w:font w:name="仿宋_GB2312">
    <w:panose1 w:val="02010609030101010101"/>
    <w:charset w:val="86"/>
    <w:family w:val="auto"/>
    <w:pitch w:val="default"/>
    <w:sig w:usb0="00000001" w:usb1="080E0000" w:usb2="00000000" w:usb3="00000000" w:csb0="00040000" w:csb1="00000000"/>
    <w:embedRegular r:id="rId8" w:fontKey="{A75D4D82-6FFB-4794-8B77-C0C8EC0DD20C}"/>
  </w:font>
  <w:font w:name="楷体_GB2312">
    <w:panose1 w:val="02010609030101010101"/>
    <w:charset w:val="86"/>
    <w:family w:val="auto"/>
    <w:pitch w:val="default"/>
    <w:sig w:usb0="00000001" w:usb1="080E0000" w:usb2="00000000" w:usb3="00000000" w:csb0="00040000" w:csb1="00000000"/>
    <w:embedRegular r:id="rId9" w:fontKey="{B0E83910-ECB8-4B46-A4BC-AA03073E7D5F}"/>
  </w:font>
  <w:font w:name="微软雅黑">
    <w:panose1 w:val="020B0503020204020204"/>
    <w:charset w:val="86"/>
    <w:family w:val="auto"/>
    <w:pitch w:val="default"/>
    <w:sig w:usb0="80000287" w:usb1="2ACF3C50" w:usb2="00000016" w:usb3="00000000" w:csb0="0004001F" w:csb1="00000000"/>
    <w:embedRegular r:id="rId10" w:fontKey="{F2A16F70-C383-4785-A7D9-EDC5C7ECF105}"/>
  </w:font>
  <w:font w:name="楷体">
    <w:panose1 w:val="02010609060101010101"/>
    <w:charset w:val="86"/>
    <w:family w:val="modern"/>
    <w:pitch w:val="default"/>
    <w:sig w:usb0="800002BF" w:usb1="38CF7CFA" w:usb2="00000016" w:usb3="00000000" w:csb0="00040001" w:csb1="00000000"/>
    <w:embedRegular r:id="rId11" w:fontKey="{5F2082BB-2698-4D79-9124-B60A9B8DE53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FD0A97"/>
    <w:rsid w:val="00517993"/>
    <w:rsid w:val="008B7DF4"/>
    <w:rsid w:val="039B6088"/>
    <w:rsid w:val="04E52D42"/>
    <w:rsid w:val="04FD0A97"/>
    <w:rsid w:val="06552BE1"/>
    <w:rsid w:val="07031B0B"/>
    <w:rsid w:val="08B02233"/>
    <w:rsid w:val="0A51481A"/>
    <w:rsid w:val="0ABE6C2F"/>
    <w:rsid w:val="0AF6049F"/>
    <w:rsid w:val="0B2317F1"/>
    <w:rsid w:val="0B6E67B5"/>
    <w:rsid w:val="0CC26FB9"/>
    <w:rsid w:val="0D8B5EA8"/>
    <w:rsid w:val="0EE17B7E"/>
    <w:rsid w:val="11860F49"/>
    <w:rsid w:val="11DC7036"/>
    <w:rsid w:val="1286010F"/>
    <w:rsid w:val="16706E69"/>
    <w:rsid w:val="1727715C"/>
    <w:rsid w:val="18244E06"/>
    <w:rsid w:val="19492CB0"/>
    <w:rsid w:val="1B184F0B"/>
    <w:rsid w:val="1C4578C9"/>
    <w:rsid w:val="22996B36"/>
    <w:rsid w:val="22B418B2"/>
    <w:rsid w:val="25382341"/>
    <w:rsid w:val="25680B86"/>
    <w:rsid w:val="2A2940FB"/>
    <w:rsid w:val="2BF174D6"/>
    <w:rsid w:val="352462C6"/>
    <w:rsid w:val="358034A8"/>
    <w:rsid w:val="377D1466"/>
    <w:rsid w:val="3BA173D4"/>
    <w:rsid w:val="3FEC2472"/>
    <w:rsid w:val="42B94378"/>
    <w:rsid w:val="44500C30"/>
    <w:rsid w:val="44C11AE7"/>
    <w:rsid w:val="45C573B4"/>
    <w:rsid w:val="47FF57D2"/>
    <w:rsid w:val="4A620F3D"/>
    <w:rsid w:val="4A854A90"/>
    <w:rsid w:val="4B827F8A"/>
    <w:rsid w:val="4DA568FD"/>
    <w:rsid w:val="4EA859A3"/>
    <w:rsid w:val="4EFF0CD7"/>
    <w:rsid w:val="508B1BC8"/>
    <w:rsid w:val="50F66AB6"/>
    <w:rsid w:val="52536121"/>
    <w:rsid w:val="536618D5"/>
    <w:rsid w:val="577E0D9C"/>
    <w:rsid w:val="58754349"/>
    <w:rsid w:val="5A3A4D6F"/>
    <w:rsid w:val="5AE55AF2"/>
    <w:rsid w:val="5C5D110A"/>
    <w:rsid w:val="5E275BE2"/>
    <w:rsid w:val="60F910CC"/>
    <w:rsid w:val="61431FF7"/>
    <w:rsid w:val="625C6BF0"/>
    <w:rsid w:val="62A92654"/>
    <w:rsid w:val="63C874B9"/>
    <w:rsid w:val="640B3B33"/>
    <w:rsid w:val="65D2065E"/>
    <w:rsid w:val="662C7C8C"/>
    <w:rsid w:val="66B42111"/>
    <w:rsid w:val="676D7AD2"/>
    <w:rsid w:val="68426A50"/>
    <w:rsid w:val="6CE03709"/>
    <w:rsid w:val="6D8C7E5F"/>
    <w:rsid w:val="6E7225AC"/>
    <w:rsid w:val="6EEA4237"/>
    <w:rsid w:val="6F6D65EC"/>
    <w:rsid w:val="77F40E47"/>
    <w:rsid w:val="79574578"/>
    <w:rsid w:val="79D02DCC"/>
    <w:rsid w:val="7B111598"/>
    <w:rsid w:val="7B7D7642"/>
    <w:rsid w:val="7BDE4833"/>
    <w:rsid w:val="7C7D78F0"/>
    <w:rsid w:val="7CD171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FollowedHyperlink"/>
    <w:basedOn w:val="5"/>
    <w:qFormat/>
    <w:uiPriority w:val="0"/>
    <w:rPr>
      <w:color w:val="333333"/>
      <w:u w:val="none"/>
    </w:rPr>
  </w:style>
  <w:style w:type="character" w:styleId="7">
    <w:name w:val="Emphasis"/>
    <w:basedOn w:val="5"/>
    <w:qFormat/>
    <w:uiPriority w:val="0"/>
  </w:style>
  <w:style w:type="character" w:styleId="8">
    <w:name w:val="Hyperlink"/>
    <w:basedOn w:val="5"/>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2020-01-22T02:44:00Z</dcterms:created>
  <dc:creator>yt_tcfgw</dc:creator>
  <cp:lastModifiedBy>庄伯阳</cp:lastModifiedBy>
  <cp:lastPrinted>2020-01-22T06:28:00Z</cp:lastPrinted>
  <dcterms:modified xsi:type="dcterms:W3CDTF">2022-02-15T07:14:43Z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KSOSaveFontToCloudKey">
    <vt:lpwstr>384519337_embed</vt:lpwstr>
  </property>
  <property fmtid="{D5CDD505-2E9C-101B-9397-08002B2CF9AE}" pid="4" name="ICV">
    <vt:lpwstr>1D582807783F4D67BCC1D99CEB320F75</vt:lpwstr>
  </property>
</Properties>
</file>