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CB3652">
      <w:pPr>
        <w:keepNext w:val="0"/>
        <w:keepLines w:val="0"/>
        <w:pageBreakBefore w:val="0"/>
        <w:widowControl w:val="0"/>
        <w:kinsoku/>
        <w:wordWrap/>
        <w:overflowPunct/>
        <w:topLinePunct w:val="0"/>
        <w:autoSpaceDE w:val="0"/>
        <w:autoSpaceDN w:val="0"/>
        <w:bidi w:val="0"/>
        <w:adjustRightInd/>
        <w:snapToGrid w:val="0"/>
        <w:spacing w:line="560" w:lineRule="exact"/>
        <w:ind w:left="0" w:leftChars="0" w:firstLine="0" w:firstLineChars="0"/>
        <w:jc w:val="center"/>
        <w:textAlignment w:val="auto"/>
        <w:rPr>
          <w:rFonts w:hint="default" w:ascii="Times New Roman" w:hAnsi="Times New Roman" w:eastAsia="仿宋_GB2312" w:cs="Times New Roman"/>
          <w:snapToGrid w:val="0"/>
          <w:kern w:val="0"/>
          <w:sz w:val="32"/>
          <w:szCs w:val="32"/>
        </w:rPr>
      </w:pPr>
      <w:r>
        <w:rPr>
          <w:rFonts w:hint="default" w:ascii="Times New Roman" w:hAnsi="Times New Roman" w:eastAsia="方正小标宋简体" w:cs="Times New Roman"/>
          <w:sz w:val="44"/>
          <w:szCs w:val="44"/>
          <w:highlight w:val="none"/>
        </w:rPr>
        <w:t>关于印发《</w:t>
      </w:r>
      <w:r>
        <w:rPr>
          <w:rFonts w:hint="default" w:ascii="Times New Roman" w:hAnsi="Times New Roman" w:eastAsia="方正小标宋简体" w:cs="Times New Roman"/>
          <w:sz w:val="44"/>
          <w:szCs w:val="44"/>
          <w:highlight w:val="none"/>
          <w:lang w:val="en-US" w:eastAsia="zh-CN"/>
        </w:rPr>
        <w:t>弘扬吴健雄科学家精神 进一步</w:t>
      </w:r>
      <w:r>
        <w:rPr>
          <w:rFonts w:hint="default" w:ascii="Times New Roman" w:hAnsi="Times New Roman" w:eastAsia="方正小标宋简体" w:cs="Times New Roman"/>
          <w:sz w:val="44"/>
          <w:szCs w:val="44"/>
          <w:highlight w:val="none"/>
        </w:rPr>
        <w:t>加强</w:t>
      </w:r>
      <w:r>
        <w:rPr>
          <w:rFonts w:hint="default" w:ascii="Times New Roman" w:hAnsi="Times New Roman" w:eastAsia="方正小标宋简体" w:cs="Times New Roman"/>
          <w:sz w:val="44"/>
          <w:szCs w:val="44"/>
          <w:highlight w:val="none"/>
          <w:lang w:val="en-US" w:eastAsia="zh-CN"/>
        </w:rPr>
        <w:t>太仓市</w:t>
      </w:r>
      <w:r>
        <w:rPr>
          <w:rFonts w:hint="default" w:ascii="Times New Roman" w:hAnsi="Times New Roman" w:eastAsia="方正小标宋简体" w:cs="Times New Roman"/>
          <w:sz w:val="44"/>
          <w:szCs w:val="44"/>
          <w:highlight w:val="none"/>
        </w:rPr>
        <w:t>中小学科学教育工作</w:t>
      </w:r>
      <w:r>
        <w:rPr>
          <w:rFonts w:hint="default" w:ascii="Times New Roman" w:hAnsi="Times New Roman" w:eastAsia="方正小标宋简体" w:cs="Times New Roman"/>
          <w:sz w:val="44"/>
          <w:szCs w:val="44"/>
          <w:highlight w:val="none"/>
          <w:lang w:val="en-US" w:eastAsia="zh-CN"/>
        </w:rPr>
        <w:t>实施方案</w:t>
      </w:r>
      <w:r>
        <w:rPr>
          <w:rFonts w:hint="default" w:ascii="Times New Roman" w:hAnsi="Times New Roman" w:eastAsia="方正小标宋简体" w:cs="Times New Roman"/>
          <w:sz w:val="44"/>
          <w:szCs w:val="44"/>
          <w:highlight w:val="none"/>
        </w:rPr>
        <w:t>》的通知</w:t>
      </w:r>
    </w:p>
    <w:p w14:paraId="65454C53">
      <w:pPr>
        <w:spacing w:line="560" w:lineRule="exact"/>
        <w:ind w:left="0" w:leftChars="0" w:firstLine="0" w:firstLineChars="0"/>
        <w:jc w:val="center"/>
        <w:rPr>
          <w:rFonts w:hint="default" w:ascii="Times New Roman" w:hAnsi="Times New Roman" w:eastAsia="仿宋_GB2312" w:cs="Times New Roman"/>
          <w:snapToGrid w:val="0"/>
          <w:kern w:val="0"/>
          <w:sz w:val="32"/>
          <w:szCs w:val="32"/>
        </w:rPr>
      </w:pPr>
    </w:p>
    <w:p w14:paraId="11F4FB2A">
      <w:pPr>
        <w:spacing w:line="560" w:lineRule="exact"/>
        <w:ind w:left="0" w:leftChars="0" w:firstLine="0" w:firstLineChars="0"/>
        <w:jc w:val="center"/>
        <w:rPr>
          <w:rFonts w:hint="default" w:ascii="Times New Roman" w:hAnsi="Times New Roman" w:eastAsia="仿宋_GB2312" w:cs="Times New Roman"/>
          <w:snapToGrid w:val="0"/>
          <w:kern w:val="0"/>
          <w:sz w:val="32"/>
          <w:szCs w:val="32"/>
        </w:rPr>
      </w:pPr>
      <w:r>
        <w:rPr>
          <w:rFonts w:hint="default" w:ascii="Times New Roman" w:hAnsi="Times New Roman" w:eastAsia="仿宋_GB2312" w:cs="Times New Roman"/>
          <w:snapToGrid w:val="0"/>
          <w:kern w:val="0"/>
          <w:sz w:val="32"/>
          <w:szCs w:val="32"/>
        </w:rPr>
        <w:t>太委教工秘〔202</w:t>
      </w:r>
      <w:r>
        <w:rPr>
          <w:rFonts w:hint="default" w:ascii="Times New Roman" w:hAnsi="Times New Roman" w:eastAsia="仿宋_GB2312" w:cs="Times New Roman"/>
          <w:snapToGrid w:val="0"/>
          <w:kern w:val="0"/>
          <w:sz w:val="32"/>
          <w:szCs w:val="32"/>
          <w:lang w:val="en-US" w:eastAsia="zh-CN"/>
        </w:rPr>
        <w:t>5</w:t>
      </w:r>
      <w:r>
        <w:rPr>
          <w:rFonts w:hint="default" w:ascii="Times New Roman" w:hAnsi="Times New Roman" w:eastAsia="仿宋_GB2312" w:cs="Times New Roman"/>
          <w:snapToGrid w:val="0"/>
          <w:kern w:val="0"/>
          <w:sz w:val="32"/>
          <w:szCs w:val="32"/>
        </w:rPr>
        <w:t>〕</w:t>
      </w:r>
      <w:r>
        <w:rPr>
          <w:rFonts w:hint="default" w:ascii="Times New Roman" w:hAnsi="Times New Roman" w:eastAsia="仿宋_GB2312" w:cs="Times New Roman"/>
          <w:snapToGrid w:val="0"/>
          <w:kern w:val="0"/>
          <w:sz w:val="32"/>
          <w:szCs w:val="32"/>
          <w:lang w:val="en-US" w:eastAsia="zh-CN"/>
        </w:rPr>
        <w:t>6</w:t>
      </w:r>
      <w:r>
        <w:rPr>
          <w:rFonts w:hint="default" w:ascii="Times New Roman" w:hAnsi="Times New Roman" w:eastAsia="仿宋_GB2312" w:cs="Times New Roman"/>
          <w:snapToGrid w:val="0"/>
          <w:kern w:val="0"/>
          <w:sz w:val="32"/>
          <w:szCs w:val="32"/>
        </w:rPr>
        <w:t>号</w:t>
      </w:r>
    </w:p>
    <w:p w14:paraId="1359B31D">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pacing w:val="-6"/>
          <w:sz w:val="32"/>
          <w:szCs w:val="32"/>
          <w:highlight w:val="none"/>
        </w:rPr>
      </w:pPr>
      <w:r>
        <w:rPr>
          <w:rFonts w:hint="default" w:ascii="Times New Roman" w:hAnsi="Times New Roman" w:eastAsia="仿宋_GB2312" w:cs="Times New Roman"/>
          <w:spacing w:val="-6"/>
          <w:sz w:val="32"/>
          <w:szCs w:val="32"/>
          <w:highlight w:val="none"/>
        </w:rPr>
        <w:t xml:space="preserve"> </w:t>
      </w:r>
    </w:p>
    <w:p w14:paraId="29130CF6">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spacing w:val="-6"/>
          <w:sz w:val="32"/>
          <w:szCs w:val="32"/>
          <w:highlight w:val="none"/>
        </w:rPr>
      </w:pPr>
      <w:r>
        <w:rPr>
          <w:rFonts w:hint="default" w:ascii="Times New Roman" w:hAnsi="Times New Roman" w:eastAsia="仿宋_GB2312" w:cs="Times New Roman"/>
          <w:spacing w:val="-6"/>
          <w:sz w:val="32"/>
          <w:szCs w:val="32"/>
          <w:highlight w:val="none"/>
          <w:lang w:val="en-US" w:eastAsia="zh-CN"/>
        </w:rPr>
        <w:t>市各</w:t>
      </w:r>
      <w:r>
        <w:rPr>
          <w:rFonts w:hint="default" w:ascii="Times New Roman" w:hAnsi="Times New Roman" w:eastAsia="仿宋_GB2312" w:cs="Times New Roman"/>
          <w:spacing w:val="-6"/>
          <w:sz w:val="32"/>
          <w:szCs w:val="32"/>
          <w:highlight w:val="none"/>
        </w:rPr>
        <w:t>有关单位</w:t>
      </w:r>
      <w:r>
        <w:rPr>
          <w:rFonts w:hint="default" w:ascii="Times New Roman" w:hAnsi="Times New Roman" w:eastAsia="仿宋_GB2312" w:cs="Times New Roman"/>
          <w:spacing w:val="-6"/>
          <w:sz w:val="32"/>
          <w:szCs w:val="32"/>
          <w:highlight w:val="none"/>
          <w:lang w:eastAsia="zh-CN"/>
        </w:rPr>
        <w:t>，</w:t>
      </w:r>
      <w:r>
        <w:rPr>
          <w:rFonts w:hint="default" w:ascii="Times New Roman" w:hAnsi="Times New Roman" w:eastAsia="仿宋_GB2312" w:cs="Times New Roman"/>
          <w:spacing w:val="-6"/>
          <w:sz w:val="32"/>
          <w:szCs w:val="32"/>
          <w:highlight w:val="none"/>
        </w:rPr>
        <w:t>各中小学、幼教中心：</w:t>
      </w:r>
    </w:p>
    <w:p w14:paraId="75924820">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default" w:ascii="Times New Roman" w:hAnsi="Times New Roman" w:eastAsia="仿宋_GB2312" w:cs="Times New Roman"/>
          <w:spacing w:val="-6"/>
          <w:sz w:val="32"/>
          <w:szCs w:val="32"/>
          <w:highlight w:val="none"/>
        </w:rPr>
      </w:pPr>
      <w:r>
        <w:rPr>
          <w:rFonts w:hint="default" w:ascii="Times New Roman" w:hAnsi="Times New Roman" w:eastAsia="仿宋_GB2312" w:cs="Times New Roman"/>
          <w:spacing w:val="-6"/>
          <w:sz w:val="32"/>
          <w:szCs w:val="32"/>
          <w:highlight w:val="none"/>
          <w:lang w:val="en-US" w:eastAsia="zh-CN"/>
        </w:rPr>
        <w:t>经研究，</w:t>
      </w:r>
      <w:r>
        <w:rPr>
          <w:rFonts w:hint="default" w:ascii="Times New Roman" w:hAnsi="Times New Roman" w:eastAsia="仿宋_GB2312" w:cs="Times New Roman"/>
          <w:spacing w:val="-6"/>
          <w:sz w:val="32"/>
          <w:szCs w:val="32"/>
          <w:highlight w:val="none"/>
        </w:rPr>
        <w:t>现将《</w:t>
      </w:r>
      <w:r>
        <w:rPr>
          <w:rFonts w:hint="default" w:ascii="Times New Roman" w:hAnsi="Times New Roman" w:eastAsia="仿宋_GB2312" w:cs="Times New Roman"/>
          <w:spacing w:val="-6"/>
          <w:sz w:val="32"/>
          <w:szCs w:val="32"/>
          <w:highlight w:val="none"/>
          <w:lang w:val="en-US" w:eastAsia="zh-CN"/>
        </w:rPr>
        <w:t>弘扬吴健雄科学家精神 进一步</w:t>
      </w:r>
      <w:r>
        <w:rPr>
          <w:rFonts w:hint="default" w:ascii="Times New Roman" w:hAnsi="Times New Roman" w:eastAsia="仿宋_GB2312" w:cs="Times New Roman"/>
          <w:spacing w:val="-6"/>
          <w:sz w:val="32"/>
          <w:szCs w:val="32"/>
          <w:highlight w:val="none"/>
        </w:rPr>
        <w:t>加强</w:t>
      </w:r>
      <w:r>
        <w:rPr>
          <w:rFonts w:hint="default" w:ascii="Times New Roman" w:hAnsi="Times New Roman" w:eastAsia="仿宋_GB2312" w:cs="Times New Roman"/>
          <w:spacing w:val="-6"/>
          <w:sz w:val="32"/>
          <w:szCs w:val="32"/>
          <w:highlight w:val="none"/>
          <w:lang w:val="en-US" w:eastAsia="zh-CN"/>
        </w:rPr>
        <w:t>太仓市</w:t>
      </w:r>
      <w:r>
        <w:rPr>
          <w:rFonts w:hint="default" w:ascii="Times New Roman" w:hAnsi="Times New Roman" w:eastAsia="仿宋_GB2312" w:cs="Times New Roman"/>
          <w:spacing w:val="-6"/>
          <w:sz w:val="32"/>
          <w:szCs w:val="32"/>
          <w:highlight w:val="none"/>
        </w:rPr>
        <w:t>中小学科学教育工作</w:t>
      </w:r>
      <w:r>
        <w:rPr>
          <w:rFonts w:hint="default" w:ascii="Times New Roman" w:hAnsi="Times New Roman" w:eastAsia="仿宋_GB2312" w:cs="Times New Roman"/>
          <w:spacing w:val="-6"/>
          <w:sz w:val="32"/>
          <w:szCs w:val="32"/>
          <w:highlight w:val="none"/>
          <w:lang w:val="en-US" w:eastAsia="zh-CN"/>
        </w:rPr>
        <w:t>实施方案</w:t>
      </w:r>
      <w:r>
        <w:rPr>
          <w:rFonts w:hint="default" w:ascii="Times New Roman" w:hAnsi="Times New Roman" w:eastAsia="仿宋_GB2312" w:cs="Times New Roman"/>
          <w:spacing w:val="-6"/>
          <w:sz w:val="32"/>
          <w:szCs w:val="32"/>
          <w:highlight w:val="none"/>
        </w:rPr>
        <w:t>》印发给你们，请各单位认真贯彻</w:t>
      </w:r>
      <w:r>
        <w:rPr>
          <w:rFonts w:hint="default" w:ascii="Times New Roman" w:hAnsi="Times New Roman" w:eastAsia="仿宋_GB2312" w:cs="Times New Roman"/>
          <w:spacing w:val="-6"/>
          <w:sz w:val="32"/>
          <w:szCs w:val="32"/>
          <w:highlight w:val="none"/>
          <w:lang w:val="en-US" w:eastAsia="zh-CN"/>
        </w:rPr>
        <w:t>落实</w:t>
      </w:r>
      <w:r>
        <w:rPr>
          <w:rFonts w:hint="default" w:ascii="Times New Roman" w:hAnsi="Times New Roman" w:eastAsia="仿宋_GB2312" w:cs="Times New Roman"/>
          <w:spacing w:val="-6"/>
          <w:sz w:val="32"/>
          <w:szCs w:val="32"/>
          <w:highlight w:val="none"/>
        </w:rPr>
        <w:t>。</w:t>
      </w:r>
    </w:p>
    <w:p w14:paraId="1E02905D">
      <w:pPr>
        <w:keepNext w:val="0"/>
        <w:keepLines w:val="0"/>
        <w:pageBreakBefore w:val="0"/>
        <w:widowControl w:val="0"/>
        <w:kinsoku/>
        <w:wordWrap/>
        <w:overflowPunct/>
        <w:topLinePunct w:val="0"/>
        <w:autoSpaceDE/>
        <w:autoSpaceDN/>
        <w:bidi w:val="0"/>
        <w:adjustRightInd/>
        <w:snapToGrid/>
        <w:spacing w:line="560" w:lineRule="exact"/>
        <w:ind w:firstLine="462" w:firstLineChars="150"/>
        <w:textAlignment w:val="auto"/>
        <w:rPr>
          <w:rFonts w:hint="default" w:ascii="Times New Roman" w:hAnsi="Times New Roman" w:eastAsia="仿宋_GB2312" w:cs="Times New Roman"/>
          <w:spacing w:val="-6"/>
          <w:sz w:val="32"/>
          <w:szCs w:val="32"/>
          <w:highlight w:val="none"/>
        </w:rPr>
      </w:pPr>
      <w:r>
        <w:rPr>
          <w:rFonts w:hint="default" w:ascii="Times New Roman" w:hAnsi="Times New Roman" w:eastAsia="仿宋_GB2312" w:cs="Times New Roman"/>
          <w:spacing w:val="-6"/>
          <w:sz w:val="32"/>
          <w:szCs w:val="32"/>
          <w:highlight w:val="none"/>
        </w:rPr>
        <w:t xml:space="preserve"> </w:t>
      </w:r>
    </w:p>
    <w:p w14:paraId="289CABF9">
      <w:pPr>
        <w:keepNext w:val="0"/>
        <w:keepLines w:val="0"/>
        <w:pageBreakBefore w:val="0"/>
        <w:widowControl w:val="0"/>
        <w:kinsoku/>
        <w:wordWrap/>
        <w:overflowPunct/>
        <w:topLinePunct w:val="0"/>
        <w:autoSpaceDE/>
        <w:autoSpaceDN/>
        <w:bidi w:val="0"/>
        <w:adjustRightInd/>
        <w:snapToGrid/>
        <w:spacing w:line="560" w:lineRule="exact"/>
        <w:ind w:firstLine="462" w:firstLineChars="150"/>
        <w:textAlignment w:val="auto"/>
        <w:rPr>
          <w:rFonts w:hint="default" w:ascii="Times New Roman" w:hAnsi="Times New Roman" w:eastAsia="仿宋_GB2312" w:cs="Times New Roman"/>
          <w:spacing w:val="-6"/>
          <w:sz w:val="32"/>
          <w:szCs w:val="32"/>
          <w:highlight w:val="none"/>
        </w:rPr>
      </w:pPr>
    </w:p>
    <w:p w14:paraId="0BAC904C">
      <w:pPr>
        <w:pStyle w:val="2"/>
        <w:rPr>
          <w:rFonts w:hint="default" w:ascii="Times New Roman" w:hAnsi="Times New Roman" w:eastAsia="仿宋_GB2312" w:cs="Times New Roman"/>
          <w:spacing w:val="-6"/>
          <w:sz w:val="32"/>
          <w:szCs w:val="32"/>
          <w:highlight w:val="none"/>
        </w:rPr>
      </w:pPr>
    </w:p>
    <w:p w14:paraId="4799D700">
      <w:pPr>
        <w:rPr>
          <w:rFonts w:hint="default" w:ascii="Times New Roman" w:hAnsi="Times New Roman" w:eastAsia="仿宋_GB2312" w:cs="Times New Roman"/>
          <w:spacing w:val="-6"/>
          <w:sz w:val="32"/>
          <w:szCs w:val="32"/>
          <w:highlight w:val="none"/>
        </w:rPr>
      </w:pPr>
    </w:p>
    <w:p w14:paraId="4A76E39D">
      <w:pPr>
        <w:pStyle w:val="2"/>
        <w:rPr>
          <w:rFonts w:hint="default"/>
        </w:rPr>
      </w:pPr>
    </w:p>
    <w:p w14:paraId="4468D1F7">
      <w:pPr>
        <w:pStyle w:val="2"/>
        <w:rPr>
          <w:rFonts w:hint="default" w:ascii="Times New Roman" w:hAnsi="Times New Roman" w:cs="Times New Roman"/>
        </w:rPr>
      </w:pPr>
    </w:p>
    <w:p w14:paraId="3D7DCF01">
      <w:pPr>
        <w:keepNext w:val="0"/>
        <w:keepLines w:val="0"/>
        <w:pageBreakBefore w:val="0"/>
        <w:widowControl w:val="0"/>
        <w:kinsoku/>
        <w:wordWrap/>
        <w:overflowPunct/>
        <w:topLinePunct w:val="0"/>
        <w:autoSpaceDE/>
        <w:autoSpaceDN/>
        <w:bidi w:val="0"/>
        <w:adjustRightInd/>
        <w:snapToGrid/>
        <w:spacing w:line="560" w:lineRule="exact"/>
        <w:ind w:left="0" w:firstLine="3058" w:firstLineChars="993"/>
        <w:jc w:val="both"/>
        <w:textAlignment w:val="auto"/>
        <w:rPr>
          <w:rFonts w:hint="default" w:ascii="Times New Roman" w:hAnsi="Times New Roman" w:eastAsia="仿宋_GB2312" w:cs="Times New Roman"/>
          <w:spacing w:val="-6"/>
          <w:sz w:val="32"/>
          <w:szCs w:val="32"/>
        </w:rPr>
      </w:pPr>
      <w:r>
        <w:rPr>
          <w:rFonts w:hint="default" w:ascii="Times New Roman" w:hAnsi="Times New Roman" w:eastAsia="仿宋_GB2312" w:cs="Times New Roman"/>
          <w:spacing w:val="-6"/>
          <w:sz w:val="32"/>
          <w:szCs w:val="32"/>
          <w:lang w:val="en-US" w:eastAsia="zh-CN"/>
        </w:rPr>
        <w:t xml:space="preserve"> </w:t>
      </w:r>
      <w:r>
        <w:rPr>
          <w:rFonts w:hint="default" w:ascii="Times New Roman" w:hAnsi="Times New Roman" w:eastAsia="仿宋_GB2312" w:cs="Times New Roman"/>
          <w:spacing w:val="-6"/>
          <w:sz w:val="32"/>
          <w:szCs w:val="32"/>
        </w:rPr>
        <w:t>中共太仓市委教育工作领导小组秘书组</w:t>
      </w:r>
    </w:p>
    <w:p w14:paraId="688E67BA">
      <w:pPr>
        <w:keepNext w:val="0"/>
        <w:keepLines w:val="0"/>
        <w:pageBreakBefore w:val="0"/>
        <w:widowControl w:val="0"/>
        <w:kinsoku/>
        <w:wordWrap/>
        <w:overflowPunct/>
        <w:topLinePunct w:val="0"/>
        <w:autoSpaceDE/>
        <w:autoSpaceDN/>
        <w:bidi w:val="0"/>
        <w:adjustRightInd/>
        <w:snapToGrid/>
        <w:spacing w:line="560" w:lineRule="exact"/>
        <w:ind w:firstLine="4620" w:firstLineChars="1500"/>
        <w:textAlignment w:val="auto"/>
        <w:rPr>
          <w:rFonts w:hint="default" w:ascii="Times New Roman" w:hAnsi="Times New Roman" w:eastAsia="仿宋_GB2312" w:cs="Times New Roman"/>
          <w:color w:val="000000"/>
          <w:spacing w:val="-6"/>
          <w:sz w:val="32"/>
          <w:szCs w:val="32"/>
          <w:highlight w:val="none"/>
        </w:rPr>
      </w:pPr>
      <w:r>
        <w:rPr>
          <w:rFonts w:hint="default" w:ascii="Times New Roman" w:hAnsi="Times New Roman" w:eastAsia="仿宋_GB2312" w:cs="Times New Roman"/>
          <w:color w:val="000000"/>
          <w:spacing w:val="-6"/>
          <w:sz w:val="32"/>
          <w:szCs w:val="32"/>
          <w:highlight w:val="none"/>
        </w:rPr>
        <w:t>202</w:t>
      </w:r>
      <w:r>
        <w:rPr>
          <w:rFonts w:hint="default" w:ascii="Times New Roman" w:hAnsi="Times New Roman" w:eastAsia="仿宋_GB2312" w:cs="Times New Roman"/>
          <w:color w:val="000000"/>
          <w:spacing w:val="-6"/>
          <w:sz w:val="32"/>
          <w:szCs w:val="32"/>
          <w:highlight w:val="none"/>
          <w:lang w:val="en-US" w:eastAsia="zh-CN"/>
        </w:rPr>
        <w:t>5</w:t>
      </w:r>
      <w:r>
        <w:rPr>
          <w:rFonts w:hint="default" w:ascii="Times New Roman" w:hAnsi="Times New Roman" w:eastAsia="仿宋_GB2312" w:cs="Times New Roman"/>
          <w:color w:val="000000"/>
          <w:spacing w:val="-6"/>
          <w:sz w:val="32"/>
          <w:szCs w:val="32"/>
          <w:highlight w:val="none"/>
        </w:rPr>
        <w:t>年</w:t>
      </w:r>
      <w:r>
        <w:rPr>
          <w:rFonts w:hint="default" w:ascii="Times New Roman" w:hAnsi="Times New Roman" w:eastAsia="仿宋_GB2312" w:cs="Times New Roman"/>
          <w:color w:val="000000"/>
          <w:spacing w:val="-6"/>
          <w:sz w:val="32"/>
          <w:szCs w:val="32"/>
          <w:highlight w:val="none"/>
          <w:lang w:val="en-US" w:eastAsia="zh-CN"/>
        </w:rPr>
        <w:t>9</w:t>
      </w:r>
      <w:r>
        <w:rPr>
          <w:rFonts w:hint="default" w:ascii="Times New Roman" w:hAnsi="Times New Roman" w:eastAsia="仿宋_GB2312" w:cs="Times New Roman"/>
          <w:color w:val="000000"/>
          <w:spacing w:val="-6"/>
          <w:sz w:val="32"/>
          <w:szCs w:val="32"/>
          <w:highlight w:val="none"/>
        </w:rPr>
        <w:t>月</w:t>
      </w:r>
      <w:r>
        <w:rPr>
          <w:rFonts w:hint="default" w:ascii="Times New Roman" w:hAnsi="Times New Roman" w:eastAsia="仿宋_GB2312" w:cs="Times New Roman"/>
          <w:color w:val="000000"/>
          <w:spacing w:val="-6"/>
          <w:sz w:val="32"/>
          <w:szCs w:val="32"/>
          <w:highlight w:val="none"/>
          <w:lang w:val="en-US" w:eastAsia="zh-CN"/>
        </w:rPr>
        <w:t>22</w:t>
      </w:r>
      <w:r>
        <w:rPr>
          <w:rFonts w:hint="default" w:ascii="Times New Roman" w:hAnsi="Times New Roman" w:eastAsia="仿宋_GB2312" w:cs="Times New Roman"/>
          <w:color w:val="000000"/>
          <w:spacing w:val="-6"/>
          <w:sz w:val="32"/>
          <w:szCs w:val="32"/>
          <w:highlight w:val="none"/>
        </w:rPr>
        <w:t>日</w:t>
      </w:r>
    </w:p>
    <w:p w14:paraId="45F243B3">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default" w:ascii="Times New Roman" w:hAnsi="Times New Roman" w:eastAsia="黑体" w:cs="Times New Roman"/>
          <w:spacing w:val="-6"/>
          <w:sz w:val="32"/>
          <w:szCs w:val="32"/>
          <w:highlight w:val="none"/>
          <w:u w:val="single"/>
        </w:rPr>
      </w:pPr>
      <w:r>
        <w:rPr>
          <w:rFonts w:hint="default" w:ascii="Times New Roman" w:hAnsi="Times New Roman" w:eastAsia="仿宋_GB2312" w:cs="Times New Roman"/>
          <w:spacing w:val="-6"/>
          <w:sz w:val="32"/>
          <w:szCs w:val="32"/>
          <w:highlight w:val="none"/>
        </w:rPr>
        <w:t>（此件公开发布）</w:t>
      </w:r>
    </w:p>
    <w:p w14:paraId="0F85FFCE">
      <w:pPr>
        <w:keepNext w:val="0"/>
        <w:keepLines w:val="0"/>
        <w:pageBreakBefore w:val="0"/>
        <w:widowControl w:val="0"/>
        <w:kinsoku/>
        <w:wordWrap/>
        <w:overflowPunct/>
        <w:topLinePunct w:val="0"/>
        <w:autoSpaceDE/>
        <w:autoSpaceDN/>
        <w:bidi w:val="0"/>
        <w:adjustRightInd/>
        <w:snapToGrid/>
        <w:spacing w:line="580" w:lineRule="exact"/>
        <w:textAlignment w:val="auto"/>
        <w:rPr>
          <w:rFonts w:hint="default" w:ascii="Times New Roman" w:hAnsi="Times New Roman" w:eastAsia="黑体" w:cs="Times New Roman"/>
          <w:sz w:val="32"/>
          <w:szCs w:val="32"/>
          <w:highlight w:val="none"/>
          <w:u w:val="single"/>
        </w:rPr>
      </w:pPr>
    </w:p>
    <w:p w14:paraId="4AA73ADE">
      <w:pPr>
        <w:jc w:val="center"/>
        <w:rPr>
          <w:rFonts w:hint="default" w:ascii="Times New Roman" w:hAnsi="Times New Roman" w:eastAsia="方正小标宋简体" w:cs="Times New Roman"/>
          <w:sz w:val="36"/>
          <w:szCs w:val="36"/>
          <w:highlight w:val="none"/>
        </w:rPr>
      </w:pPr>
    </w:p>
    <w:p w14:paraId="37CD167B">
      <w:pPr>
        <w:pStyle w:val="2"/>
        <w:rPr>
          <w:rFonts w:hint="default" w:ascii="Times New Roman" w:hAnsi="Times New Roman" w:eastAsia="方正小标宋简体" w:cs="Times New Roman"/>
          <w:sz w:val="36"/>
          <w:szCs w:val="36"/>
          <w:highlight w:val="none"/>
        </w:rPr>
      </w:pPr>
    </w:p>
    <w:p w14:paraId="1AFE6A94">
      <w:pPr>
        <w:rPr>
          <w:rFonts w:hint="default" w:ascii="Times New Roman" w:hAnsi="Times New Roman" w:eastAsia="方正小标宋简体" w:cs="Times New Roman"/>
          <w:sz w:val="36"/>
          <w:szCs w:val="36"/>
          <w:highlight w:val="none"/>
        </w:rPr>
      </w:pPr>
    </w:p>
    <w:tbl>
      <w:tblPr>
        <w:tblStyle w:val="11"/>
        <w:tblpPr w:leftFromText="180" w:rightFromText="180" w:vertAnchor="text" w:horzAnchor="page" w:tblpX="1607" w:tblpY="862"/>
        <w:tblW w:w="0" w:type="auto"/>
        <w:tblInd w:w="0" w:type="dxa"/>
        <w:tblBorders>
          <w:top w:val="single" w:color="000000" w:sz="12" w:space="0"/>
          <w:left w:val="none" w:color="auto" w:sz="0" w:space="0"/>
          <w:bottom w:val="single" w:color="auto" w:sz="12"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8955"/>
      </w:tblGrid>
      <w:tr w14:paraId="09E66756">
        <w:tblPrEx>
          <w:tblBorders>
            <w:top w:val="single" w:color="000000" w:sz="12" w:space="0"/>
            <w:left w:val="none" w:color="auto" w:sz="0" w:space="0"/>
            <w:bottom w:val="single" w:color="auto" w:sz="12"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55" w:type="dxa"/>
            <w:noWrap w:val="0"/>
            <w:vAlign w:val="top"/>
          </w:tcPr>
          <w:p w14:paraId="48AB6218">
            <w:pPr>
              <w:spacing w:line="400" w:lineRule="exact"/>
              <w:ind w:left="0" w:leftChars="0" w:firstLine="0" w:firstLineChars="0"/>
              <w:rPr>
                <w:rFonts w:hint="default" w:ascii="Times New Roman" w:hAnsi="Times New Roman" w:eastAsia="仿宋" w:cs="Times New Roman"/>
                <w:sz w:val="28"/>
                <w:szCs w:val="28"/>
              </w:rPr>
            </w:pPr>
            <w:bookmarkStart w:id="0" w:name="_GoBack"/>
            <w:bookmarkEnd w:id="0"/>
            <w:r>
              <w:rPr>
                <w:rFonts w:hint="default" w:ascii="Times New Roman" w:hAnsi="Times New Roman" w:eastAsia="仿宋_GB2312" w:cs="Times New Roman"/>
                <w:bCs/>
                <w:color w:val="000000"/>
                <w:w w:val="90"/>
                <w:sz w:val="28"/>
                <w:szCs w:val="28"/>
              </w:rPr>
              <w:t xml:space="preserve">中共太仓市委教育工作领导小组秘书组       </w:t>
            </w:r>
            <w:r>
              <w:rPr>
                <w:rFonts w:hint="default" w:ascii="Times New Roman" w:hAnsi="Times New Roman" w:eastAsia="仿宋_GB2312" w:cs="Times New Roman"/>
                <w:bCs/>
                <w:color w:val="000000"/>
                <w:w w:val="90"/>
                <w:sz w:val="28"/>
                <w:szCs w:val="28"/>
                <w:lang w:val="en-US" w:eastAsia="zh-CN"/>
              </w:rPr>
              <w:t xml:space="preserve"> </w:t>
            </w:r>
            <w:r>
              <w:rPr>
                <w:rFonts w:hint="default" w:ascii="Times New Roman" w:hAnsi="Times New Roman" w:eastAsia="仿宋_GB2312" w:cs="Times New Roman"/>
                <w:bCs/>
                <w:color w:val="000000"/>
                <w:w w:val="90"/>
                <w:sz w:val="28"/>
                <w:szCs w:val="28"/>
              </w:rPr>
              <w:t xml:space="preserve">   </w:t>
            </w:r>
            <w:r>
              <w:rPr>
                <w:rFonts w:hint="default" w:ascii="Times New Roman" w:hAnsi="Times New Roman" w:eastAsia="仿宋_GB2312" w:cs="Times New Roman"/>
                <w:bCs/>
                <w:color w:val="000000"/>
                <w:w w:val="90"/>
                <w:sz w:val="28"/>
                <w:szCs w:val="28"/>
                <w:lang w:val="en-US" w:eastAsia="zh-CN"/>
              </w:rPr>
              <w:t xml:space="preserve">   </w:t>
            </w:r>
            <w:r>
              <w:rPr>
                <w:rFonts w:hint="default" w:ascii="Times New Roman" w:hAnsi="Times New Roman" w:eastAsia="仿宋_GB2312" w:cs="Times New Roman"/>
                <w:bCs/>
                <w:color w:val="000000"/>
                <w:sz w:val="28"/>
                <w:szCs w:val="28"/>
              </w:rPr>
              <w:t>202</w:t>
            </w:r>
            <w:r>
              <w:rPr>
                <w:rFonts w:hint="default" w:ascii="Times New Roman" w:hAnsi="Times New Roman" w:eastAsia="仿宋_GB2312" w:cs="Times New Roman"/>
                <w:bCs/>
                <w:color w:val="000000"/>
                <w:sz w:val="28"/>
                <w:szCs w:val="28"/>
                <w:lang w:val="en-US" w:eastAsia="zh-CN"/>
              </w:rPr>
              <w:t>4</w:t>
            </w:r>
            <w:r>
              <w:rPr>
                <w:rFonts w:hint="default" w:ascii="Times New Roman" w:hAnsi="Times New Roman" w:eastAsia="仿宋_GB2312" w:cs="Times New Roman"/>
                <w:bCs/>
                <w:color w:val="000000"/>
                <w:sz w:val="28"/>
                <w:szCs w:val="28"/>
              </w:rPr>
              <w:t>年</w:t>
            </w:r>
            <w:r>
              <w:rPr>
                <w:rFonts w:hint="default" w:ascii="Times New Roman" w:hAnsi="Times New Roman" w:eastAsia="仿宋_GB2312" w:cs="Times New Roman"/>
                <w:bCs/>
                <w:color w:val="000000"/>
                <w:sz w:val="28"/>
                <w:szCs w:val="28"/>
                <w:lang w:val="en-US" w:eastAsia="zh-CN"/>
              </w:rPr>
              <w:t>9</w:t>
            </w:r>
            <w:r>
              <w:rPr>
                <w:rFonts w:hint="default" w:ascii="Times New Roman" w:hAnsi="Times New Roman" w:eastAsia="仿宋_GB2312" w:cs="Times New Roman"/>
                <w:bCs/>
                <w:color w:val="000000"/>
                <w:sz w:val="28"/>
                <w:szCs w:val="28"/>
              </w:rPr>
              <w:t>月</w:t>
            </w:r>
            <w:r>
              <w:rPr>
                <w:rFonts w:hint="default" w:ascii="Times New Roman" w:hAnsi="Times New Roman" w:eastAsia="仿宋_GB2312" w:cs="Times New Roman"/>
                <w:bCs/>
                <w:color w:val="000000"/>
                <w:sz w:val="28"/>
                <w:szCs w:val="28"/>
                <w:lang w:val="en-US" w:eastAsia="zh-CN"/>
              </w:rPr>
              <w:t>22</w:t>
            </w:r>
            <w:r>
              <w:rPr>
                <w:rFonts w:hint="default" w:ascii="Times New Roman" w:hAnsi="Times New Roman" w:eastAsia="仿宋_GB2312" w:cs="Times New Roman"/>
                <w:bCs/>
                <w:color w:val="000000"/>
                <w:sz w:val="28"/>
                <w:szCs w:val="28"/>
              </w:rPr>
              <w:t>日印发</w:t>
            </w:r>
            <w:r>
              <w:rPr>
                <w:rFonts w:hint="default" w:ascii="Times New Roman" w:hAnsi="Times New Roman" w:eastAsia="仿宋" w:cs="Times New Roman"/>
                <w:bCs/>
                <w:color w:val="000000"/>
                <w:sz w:val="28"/>
                <w:szCs w:val="28"/>
              </w:rPr>
              <w:t xml:space="preserve">  </w:t>
            </w:r>
          </w:p>
        </w:tc>
      </w:tr>
    </w:tbl>
    <w:p w14:paraId="2E4C5C51">
      <w:pPr>
        <w:pStyle w:val="2"/>
        <w:rPr>
          <w:rFonts w:hint="default"/>
        </w:rPr>
      </w:pPr>
    </w:p>
    <w:p w14:paraId="2BC7AC9D">
      <w:pPr>
        <w:pStyle w:val="2"/>
        <w:rPr>
          <w:rFonts w:hint="default" w:ascii="Times New Roman" w:hAnsi="Times New Roman" w:cs="Times New Roman"/>
        </w:rPr>
        <w:sectPr>
          <w:pgSz w:w="11906" w:h="16838"/>
          <w:pgMar w:top="1814" w:right="1474" w:bottom="1984" w:left="1474" w:header="851" w:footer="992" w:gutter="0"/>
          <w:pgNumType w:fmt="decimal" w:start="1"/>
          <w:cols w:space="425" w:num="1"/>
          <w:docGrid w:type="lines" w:linePitch="312" w:charSpace="0"/>
        </w:sectPr>
      </w:pPr>
    </w:p>
    <w:p w14:paraId="7212DA59">
      <w:pPr>
        <w:keepNext/>
        <w:keepLines w:val="0"/>
        <w:pageBreakBefore w:val="0"/>
        <w:widowControl w:val="0"/>
        <w:kinsoku/>
        <w:wordWrap/>
        <w:overflowPunct w:val="0"/>
        <w:topLinePunct/>
        <w:autoSpaceDE/>
        <w:autoSpaceDN/>
        <w:bidi w:val="0"/>
        <w:adjustRightInd/>
        <w:snapToGrid/>
        <w:spacing w:line="540" w:lineRule="exact"/>
        <w:jc w:val="center"/>
        <w:textAlignment w:val="auto"/>
        <w:rPr>
          <w:rFonts w:hint="default" w:ascii="Times New Roman" w:hAnsi="Times New Roman" w:eastAsia="方正小标宋简体" w:cs="Times New Roman"/>
          <w:sz w:val="36"/>
          <w:szCs w:val="36"/>
          <w:highlight w:val="none"/>
          <w:lang w:val="en-US" w:eastAsia="zh-CN"/>
        </w:rPr>
      </w:pPr>
      <w:r>
        <w:rPr>
          <w:rFonts w:hint="default" w:ascii="Times New Roman" w:hAnsi="Times New Roman" w:eastAsia="方正小标宋简体" w:cs="Times New Roman"/>
          <w:sz w:val="36"/>
          <w:szCs w:val="36"/>
          <w:highlight w:val="none"/>
          <w:lang w:val="en-US" w:eastAsia="zh-CN"/>
        </w:rPr>
        <w:t>弘扬吴健雄科学家精神 进一步</w:t>
      </w:r>
      <w:r>
        <w:rPr>
          <w:rFonts w:hint="default" w:ascii="Times New Roman" w:hAnsi="Times New Roman" w:eastAsia="方正小标宋简体" w:cs="Times New Roman"/>
          <w:sz w:val="36"/>
          <w:szCs w:val="36"/>
          <w:highlight w:val="none"/>
        </w:rPr>
        <w:t>加强</w:t>
      </w:r>
      <w:r>
        <w:rPr>
          <w:rFonts w:hint="default" w:ascii="Times New Roman" w:hAnsi="Times New Roman" w:eastAsia="方正小标宋简体" w:cs="Times New Roman"/>
          <w:sz w:val="36"/>
          <w:szCs w:val="36"/>
          <w:highlight w:val="none"/>
          <w:lang w:val="en-US" w:eastAsia="zh-CN"/>
        </w:rPr>
        <w:t>太仓市</w:t>
      </w:r>
    </w:p>
    <w:p w14:paraId="609B9B5A">
      <w:pPr>
        <w:keepNext/>
        <w:keepLines w:val="0"/>
        <w:pageBreakBefore w:val="0"/>
        <w:widowControl w:val="0"/>
        <w:kinsoku/>
        <w:wordWrap/>
        <w:overflowPunct w:val="0"/>
        <w:topLinePunct/>
        <w:autoSpaceDE/>
        <w:autoSpaceDN/>
        <w:bidi w:val="0"/>
        <w:adjustRightInd/>
        <w:snapToGrid/>
        <w:spacing w:line="540" w:lineRule="exact"/>
        <w:jc w:val="center"/>
        <w:textAlignment w:val="auto"/>
        <w:rPr>
          <w:rFonts w:hint="default" w:ascii="Times New Roman" w:hAnsi="Times New Roman" w:eastAsia="方正小标宋简体" w:cs="Times New Roman"/>
          <w:sz w:val="36"/>
          <w:szCs w:val="36"/>
          <w:highlight w:val="none"/>
          <w:lang w:val="en-US" w:eastAsia="zh-CN"/>
        </w:rPr>
      </w:pPr>
      <w:r>
        <w:rPr>
          <w:rFonts w:hint="default" w:ascii="Times New Roman" w:hAnsi="Times New Roman" w:eastAsia="方正小标宋简体" w:cs="Times New Roman"/>
          <w:sz w:val="36"/>
          <w:szCs w:val="36"/>
          <w:highlight w:val="none"/>
        </w:rPr>
        <w:t>中小学科学教育工作</w:t>
      </w:r>
      <w:r>
        <w:rPr>
          <w:rFonts w:hint="default" w:ascii="Times New Roman" w:hAnsi="Times New Roman" w:eastAsia="方正小标宋简体" w:cs="Times New Roman"/>
          <w:sz w:val="36"/>
          <w:szCs w:val="36"/>
          <w:highlight w:val="none"/>
          <w:lang w:val="en-US" w:eastAsia="zh-CN"/>
        </w:rPr>
        <w:t>实施方案</w:t>
      </w:r>
    </w:p>
    <w:p w14:paraId="11EFE406">
      <w:pPr>
        <w:keepNext/>
        <w:keepLines w:val="0"/>
        <w:pageBreakBefore w:val="0"/>
        <w:widowControl w:val="0"/>
        <w:kinsoku/>
        <w:wordWrap/>
        <w:overflowPunct w:val="0"/>
        <w:topLinePunct/>
        <w:autoSpaceDE/>
        <w:autoSpaceDN/>
        <w:bidi w:val="0"/>
        <w:adjustRightInd/>
        <w:snapToGrid/>
        <w:spacing w:line="540" w:lineRule="exact"/>
        <w:jc w:val="center"/>
        <w:textAlignment w:val="auto"/>
        <w:rPr>
          <w:rFonts w:hint="default" w:ascii="Times New Roman" w:hAnsi="Times New Roman" w:eastAsia="方正小标宋简体" w:cs="Times New Roman"/>
          <w:spacing w:val="-6"/>
          <w:sz w:val="32"/>
          <w:szCs w:val="32"/>
          <w:highlight w:val="none"/>
          <w:lang w:val="en-US" w:eastAsia="zh-CN"/>
        </w:rPr>
      </w:pPr>
    </w:p>
    <w:p w14:paraId="5E952E7A">
      <w:pPr>
        <w:pStyle w:val="10"/>
        <w:keepNext/>
        <w:keepLines w:val="0"/>
        <w:pageBreakBefore w:val="0"/>
        <w:widowControl w:val="0"/>
        <w:suppressLineNumbers w:val="0"/>
        <w:kinsoku/>
        <w:wordWrap/>
        <w:overflowPunct w:val="0"/>
        <w:topLinePunct/>
        <w:autoSpaceDE/>
        <w:autoSpaceDN/>
        <w:bidi w:val="0"/>
        <w:adjustRightInd/>
        <w:snapToGrid/>
        <w:spacing w:before="0" w:beforeAutospacing="0" w:after="0" w:afterAutospacing="0" w:line="540" w:lineRule="exact"/>
        <w:ind w:firstLine="482"/>
        <w:jc w:val="both"/>
        <w:textAlignment w:val="auto"/>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为贯彻落实《教育部等十八部门关于加强新时代中小学科学教育工作的意见》《中国科协 教育部关于印发〈“科学家（精神）进校园行动”实施方案〉的通知》《教育部办公厅关于印发〈中小学科学教育工作指南〉的通知》《关于印发〈加强苏州市新时代中小学科学教育工作行动方案〉的通知》等文件精神，推动我市中小学科学教育工作更加重视激发学生好奇心、想象力、探求欲，聚焦提升学生科学素养和实践创新能力，关注激发学生科技报国的远大志向，结合我市实际，制定本实施方案。</w:t>
      </w:r>
    </w:p>
    <w:p w14:paraId="33BAB1C5">
      <w:pPr>
        <w:pStyle w:val="10"/>
        <w:keepNext/>
        <w:keepLines w:val="0"/>
        <w:pageBreakBefore w:val="0"/>
        <w:widowControl w:val="0"/>
        <w:numPr>
          <w:ilvl w:val="0"/>
          <w:numId w:val="0"/>
        </w:numPr>
        <w:suppressLineNumbers w:val="0"/>
        <w:kinsoku/>
        <w:wordWrap/>
        <w:overflowPunct w:val="0"/>
        <w:topLinePunct/>
        <w:autoSpaceDE/>
        <w:autoSpaceDN/>
        <w:bidi w:val="0"/>
        <w:adjustRightInd/>
        <w:snapToGrid/>
        <w:spacing w:before="0" w:beforeAutospacing="0" w:after="0" w:afterAutospacing="0" w:line="540" w:lineRule="exact"/>
        <w:ind w:right="0" w:rightChars="0" w:firstLine="616" w:firstLineChars="200"/>
        <w:jc w:val="both"/>
        <w:textAlignment w:val="auto"/>
        <w:rPr>
          <w:rFonts w:hint="default" w:ascii="Times New Roman" w:hAnsi="Times New Roman" w:eastAsia="黑体"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黑体" w:cs="Times New Roman"/>
          <w:b w:val="0"/>
          <w:bCs w:val="0"/>
          <w:i w:val="0"/>
          <w:iCs w:val="0"/>
          <w:caps w:val="0"/>
          <w:color w:val="auto"/>
          <w:spacing w:val="-6"/>
          <w:kern w:val="0"/>
          <w:sz w:val="32"/>
          <w:szCs w:val="32"/>
          <w:highlight w:val="none"/>
          <w:shd w:val="clear" w:color="auto" w:fill="auto"/>
          <w:lang w:val="en-US" w:eastAsia="zh-CN" w:bidi="ar"/>
        </w:rPr>
        <w:t>一、工作目标</w:t>
      </w:r>
    </w:p>
    <w:p w14:paraId="5C71D4ED">
      <w:pPr>
        <w:pStyle w:val="10"/>
        <w:keepNext/>
        <w:keepLines w:val="0"/>
        <w:pageBreakBefore w:val="0"/>
        <w:widowControl w:val="0"/>
        <w:numPr>
          <w:ilvl w:val="0"/>
          <w:numId w:val="0"/>
        </w:numPr>
        <w:suppressLineNumbers w:val="0"/>
        <w:kinsoku/>
        <w:wordWrap/>
        <w:overflowPunct w:val="0"/>
        <w:topLinePunct/>
        <w:autoSpaceDE/>
        <w:autoSpaceDN/>
        <w:bidi w:val="0"/>
        <w:adjustRightInd/>
        <w:snapToGrid/>
        <w:spacing w:before="0" w:beforeAutospacing="0" w:after="0" w:afterAutospacing="0" w:line="540" w:lineRule="exact"/>
        <w:ind w:right="0" w:rightChars="0" w:firstLine="616" w:firstLineChars="200"/>
        <w:jc w:val="both"/>
        <w:textAlignment w:val="auto"/>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通过系统整合资源，强化科学教育课程建设、教师素养提升与实践活动拓展，构建具有太仓特色的中小学科学教育体系。力争3~5年，全市形成浓厚科学教育氛围，学生科学兴趣、思维及实践能力显著提升；培育热爱科学、专业过硬、教学突出的教师队伍；建成具有示范引领作用的科学教育特色学校，推动吴健雄科学家精神深度融入科学教育，全面提升中小学科学教育水平，打造具有区域影响力的太仓科学教育品牌。</w:t>
      </w:r>
    </w:p>
    <w:p w14:paraId="519D4A20">
      <w:pPr>
        <w:pStyle w:val="10"/>
        <w:keepNext/>
        <w:keepLines w:val="0"/>
        <w:pageBreakBefore w:val="0"/>
        <w:widowControl w:val="0"/>
        <w:numPr>
          <w:ilvl w:val="0"/>
          <w:numId w:val="0"/>
        </w:numPr>
        <w:suppressLineNumbers w:val="0"/>
        <w:kinsoku/>
        <w:wordWrap/>
        <w:overflowPunct w:val="0"/>
        <w:topLinePunct/>
        <w:autoSpaceDE/>
        <w:autoSpaceDN/>
        <w:bidi w:val="0"/>
        <w:adjustRightInd/>
        <w:snapToGrid/>
        <w:spacing w:before="0" w:beforeAutospacing="0" w:after="0" w:afterAutospacing="0" w:line="540" w:lineRule="exact"/>
        <w:ind w:right="0" w:rightChars="0" w:firstLine="616" w:firstLineChars="200"/>
        <w:jc w:val="both"/>
        <w:textAlignment w:val="auto"/>
        <w:rPr>
          <w:rFonts w:hint="default" w:ascii="Times New Roman" w:hAnsi="Times New Roman" w:eastAsia="黑体"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黑体" w:cs="Times New Roman"/>
          <w:b w:val="0"/>
          <w:bCs w:val="0"/>
          <w:i w:val="0"/>
          <w:iCs w:val="0"/>
          <w:caps w:val="0"/>
          <w:color w:val="auto"/>
          <w:spacing w:val="-6"/>
          <w:kern w:val="0"/>
          <w:sz w:val="32"/>
          <w:szCs w:val="32"/>
          <w:highlight w:val="none"/>
          <w:shd w:val="clear" w:color="auto" w:fill="auto"/>
          <w:lang w:val="en-US" w:eastAsia="zh-CN" w:bidi="ar"/>
        </w:rPr>
        <w:t>二、工作任务</w:t>
      </w:r>
    </w:p>
    <w:p w14:paraId="2994CB44">
      <w:pPr>
        <w:keepNext/>
        <w:keepLines w:val="0"/>
        <w:pageBreakBefore w:val="0"/>
        <w:widowControl w:val="0"/>
        <w:kinsoku/>
        <w:wordWrap/>
        <w:overflowPunct w:val="0"/>
        <w:topLinePunct/>
        <w:autoSpaceDE/>
        <w:autoSpaceDN/>
        <w:bidi w:val="0"/>
        <w:adjustRightInd/>
        <w:snapToGrid/>
        <w:spacing w:line="540" w:lineRule="exact"/>
        <w:ind w:firstLine="616" w:firstLineChars="200"/>
        <w:textAlignment w:val="auto"/>
        <w:rPr>
          <w:rFonts w:hint="default" w:ascii="Times New Roman" w:hAnsi="Times New Roman" w:eastAsia="楷体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楷体_GB2312" w:cs="Times New Roman"/>
          <w:b w:val="0"/>
          <w:bCs w:val="0"/>
          <w:i w:val="0"/>
          <w:iCs w:val="0"/>
          <w:caps w:val="0"/>
          <w:color w:val="auto"/>
          <w:spacing w:val="-6"/>
          <w:kern w:val="0"/>
          <w:sz w:val="32"/>
          <w:szCs w:val="32"/>
          <w:highlight w:val="none"/>
          <w:shd w:val="clear" w:color="auto" w:fill="auto"/>
          <w:lang w:val="en-US" w:eastAsia="zh-CN" w:bidi="ar"/>
        </w:rPr>
        <w:t>（一）强化平台建设，夯实科学教育根基</w:t>
      </w:r>
    </w:p>
    <w:p w14:paraId="5788DE9F">
      <w:pPr>
        <w:keepNext/>
        <w:keepLines w:val="0"/>
        <w:pageBreakBefore w:val="0"/>
        <w:widowControl w:val="0"/>
        <w:kinsoku/>
        <w:wordWrap/>
        <w:overflowPunct w:val="0"/>
        <w:topLinePunct/>
        <w:autoSpaceDE/>
        <w:autoSpaceDN/>
        <w:bidi w:val="0"/>
        <w:adjustRightInd/>
        <w:snapToGrid/>
        <w:spacing w:line="540" w:lineRule="exact"/>
        <w:ind w:firstLine="619" w:firstLineChars="200"/>
        <w:textAlignment w:val="auto"/>
        <w:rPr>
          <w:rFonts w:hint="default" w:ascii="Times New Roman" w:hAnsi="Times New Roman" w:eastAsia="仿宋_GB2312" w:cs="Times New Roman"/>
          <w:b w:val="0"/>
          <w:bCs w:val="0"/>
          <w:i w:val="0"/>
          <w:iCs w:val="0"/>
          <w:caps w:val="0"/>
          <w:color w:val="auto"/>
          <w:spacing w:val="-6"/>
          <w:kern w:val="0"/>
          <w:sz w:val="32"/>
          <w:szCs w:val="32"/>
          <w:highlight w:val="none"/>
          <w:u w:val="none"/>
          <w:shd w:val="clear" w:color="auto" w:fill="auto"/>
          <w:lang w:val="en-US" w:eastAsia="zh-CN" w:bidi="ar"/>
        </w:rPr>
      </w:pPr>
      <w:r>
        <w:rPr>
          <w:rFonts w:hint="default" w:ascii="Times New Roman" w:hAnsi="Times New Roman" w:eastAsia="仿宋_GB2312" w:cs="Times New Roman"/>
          <w:b/>
          <w:bCs/>
          <w:i w:val="0"/>
          <w:iCs w:val="0"/>
          <w:caps w:val="0"/>
          <w:color w:val="auto"/>
          <w:spacing w:val="-6"/>
          <w:kern w:val="0"/>
          <w:sz w:val="32"/>
          <w:szCs w:val="32"/>
          <w:highlight w:val="none"/>
          <w:u w:val="none"/>
          <w:shd w:val="clear" w:color="auto" w:fill="auto"/>
          <w:lang w:val="en-US" w:eastAsia="zh-CN" w:bidi="ar"/>
        </w:rPr>
        <w:t>1.打造校内特色科学阵地。</w:t>
      </w:r>
      <w:r>
        <w:rPr>
          <w:rFonts w:hint="default" w:ascii="Times New Roman" w:hAnsi="Times New Roman" w:eastAsia="仿宋_GB2312" w:cs="Times New Roman"/>
          <w:b w:val="0"/>
          <w:bCs w:val="0"/>
          <w:i w:val="0"/>
          <w:iCs w:val="0"/>
          <w:caps w:val="0"/>
          <w:color w:val="auto"/>
          <w:spacing w:val="-6"/>
          <w:kern w:val="0"/>
          <w:sz w:val="32"/>
          <w:szCs w:val="32"/>
          <w:highlight w:val="none"/>
          <w:u w:val="none"/>
          <w:shd w:val="clear" w:color="auto" w:fill="auto"/>
          <w:lang w:val="en-US" w:eastAsia="zh-CN" w:bidi="ar"/>
        </w:rPr>
        <w:t>各校统筹推进“健雄实验室”全覆盖与“健雄科普活动”空间打造。小学建设不少于1个科学教育功能室；</w:t>
      </w:r>
      <w:r>
        <w:rPr>
          <w:rFonts w:hint="default" w:ascii="Times New Roman" w:hAnsi="Times New Roman" w:eastAsia="仿宋_GB2312" w:cs="Times New Roman"/>
          <w:b w:val="0"/>
          <w:bCs w:val="0"/>
          <w:i w:val="0"/>
          <w:iCs w:val="0"/>
          <w:caps w:val="0"/>
          <w:color w:val="000000" w:themeColor="text1"/>
          <w:spacing w:val="-6"/>
          <w:kern w:val="0"/>
          <w:sz w:val="32"/>
          <w:szCs w:val="32"/>
          <w:highlight w:val="none"/>
          <w:u w:val="none"/>
          <w:shd w:val="clear" w:color="auto" w:fill="auto"/>
          <w:lang w:val="en-US" w:eastAsia="zh-CN" w:bidi="ar"/>
          <w14:textFill>
            <w14:solidFill>
              <w14:schemeClr w14:val="tx1"/>
            </w14:solidFill>
          </w14:textFill>
        </w:rPr>
        <w:t>中学独立或联合建设物理、化学、生物、地理、信息技术等学科类实验室，其中高中</w:t>
      </w:r>
      <w:r>
        <w:rPr>
          <w:rFonts w:hint="default" w:ascii="Times New Roman" w:hAnsi="Times New Roman" w:eastAsia="仿宋_GB2312" w:cs="Times New Roman"/>
          <w:b w:val="0"/>
          <w:bCs w:val="0"/>
          <w:i w:val="0"/>
          <w:iCs w:val="0"/>
          <w:caps w:val="0"/>
          <w:color w:val="auto"/>
          <w:spacing w:val="-6"/>
          <w:kern w:val="0"/>
          <w:sz w:val="32"/>
          <w:szCs w:val="32"/>
          <w:highlight w:val="none"/>
          <w:u w:val="none"/>
          <w:shd w:val="clear" w:color="auto" w:fill="auto"/>
          <w:lang w:val="en-US" w:eastAsia="zh-CN" w:bidi="ar"/>
        </w:rPr>
        <w:t>可联合高校设立共享科学实验室、科研基地，为学生参与课题研究和实验活动提供支撑。系统规划校园科学教育功能区，因地制宜打造科学角、科学长廊等特色科普阵地，营造沉浸式科学文化氛围。推动基础条件较好的学校建设集互动体验、实践探究于一体的校园微型科技体验馆，为学生自主探索、动手实践搭建创新平台，切实激发青少年科学兴趣与创新思维。</w:t>
      </w:r>
    </w:p>
    <w:p w14:paraId="00371363">
      <w:pPr>
        <w:keepNext/>
        <w:keepLines w:val="0"/>
        <w:pageBreakBefore w:val="0"/>
        <w:widowControl w:val="0"/>
        <w:kinsoku/>
        <w:wordWrap/>
        <w:overflowPunct w:val="0"/>
        <w:topLinePunct/>
        <w:autoSpaceDE/>
        <w:autoSpaceDN/>
        <w:bidi w:val="0"/>
        <w:adjustRightInd/>
        <w:snapToGrid/>
        <w:spacing w:line="540" w:lineRule="exact"/>
        <w:ind w:firstLine="619" w:firstLineChars="200"/>
        <w:textAlignment w:val="auto"/>
        <w:rPr>
          <w:rFonts w:hint="default" w:ascii="Times New Roman" w:hAnsi="Times New Roman" w:eastAsia="仿宋_GB2312" w:cs="Times New Roman"/>
          <w:b w:val="0"/>
          <w:bCs w:val="0"/>
          <w:i w:val="0"/>
          <w:iCs w:val="0"/>
          <w:caps w:val="0"/>
          <w:color w:val="auto"/>
          <w:spacing w:val="-6"/>
          <w:kern w:val="0"/>
          <w:sz w:val="32"/>
          <w:szCs w:val="32"/>
          <w:highlight w:val="none"/>
          <w:u w:val="none"/>
          <w:shd w:val="clear" w:color="auto" w:fill="auto"/>
          <w:lang w:val="en-US" w:eastAsia="zh-CN" w:bidi="ar"/>
        </w:rPr>
      </w:pPr>
      <w:r>
        <w:rPr>
          <w:rFonts w:hint="default" w:ascii="Times New Roman" w:hAnsi="Times New Roman" w:eastAsia="仿宋_GB2312" w:cs="Times New Roman"/>
          <w:b/>
          <w:bCs/>
          <w:i w:val="0"/>
          <w:iCs w:val="0"/>
          <w:caps w:val="0"/>
          <w:color w:val="auto"/>
          <w:spacing w:val="-6"/>
          <w:kern w:val="0"/>
          <w:sz w:val="32"/>
          <w:szCs w:val="32"/>
          <w:highlight w:val="none"/>
          <w:u w:val="none"/>
          <w:shd w:val="clear" w:color="auto" w:fill="auto"/>
          <w:lang w:val="en-US" w:eastAsia="zh-CN" w:bidi="ar"/>
        </w:rPr>
        <w:t>2.拓展校外科学教育平台。</w:t>
      </w:r>
      <w:r>
        <w:rPr>
          <w:rFonts w:hint="default" w:ascii="Times New Roman" w:hAnsi="Times New Roman" w:eastAsia="仿宋_GB2312" w:cs="Times New Roman"/>
          <w:b w:val="0"/>
          <w:bCs w:val="0"/>
          <w:i w:val="0"/>
          <w:iCs w:val="0"/>
          <w:caps w:val="0"/>
          <w:color w:val="auto"/>
          <w:spacing w:val="-6"/>
          <w:kern w:val="0"/>
          <w:sz w:val="32"/>
          <w:szCs w:val="32"/>
          <w:highlight w:val="none"/>
          <w:u w:val="none"/>
          <w:shd w:val="clear" w:color="auto" w:fill="auto"/>
          <w:lang w:val="en-US" w:eastAsia="zh-CN" w:bidi="ar"/>
        </w:rPr>
        <w:t>全面赋能中小学科学教育提质增效，规划建设“健雄青少年科学院”，集成科研实践、赛事承办、科普教育功能，打造区域科学教育高地。统筹“健雄杯”等赛事资源，规范组织、统一管理，构建“以赛促学”品牌体系。加强与高校、科研院所及科技企业联动，构建校外科学教育协同平台，编制《健雄科普教育基地目录》、绘制资源地图、发布开放清单，搭建“展示—对接—服务”一体化平台，推动实验室、科研场景向中小学开放，引导学生深入科研一线，感知前沿科技发展，提升科学教育供给能级与育人实效。</w:t>
      </w:r>
    </w:p>
    <w:p w14:paraId="64D82F7E">
      <w:pPr>
        <w:keepNext/>
        <w:keepLines w:val="0"/>
        <w:pageBreakBefore w:val="0"/>
        <w:widowControl w:val="0"/>
        <w:kinsoku/>
        <w:wordWrap/>
        <w:overflowPunct w:val="0"/>
        <w:topLinePunct/>
        <w:autoSpaceDE/>
        <w:autoSpaceDN/>
        <w:bidi w:val="0"/>
        <w:adjustRightInd/>
        <w:snapToGrid/>
        <w:spacing w:line="540" w:lineRule="exact"/>
        <w:ind w:firstLine="616" w:firstLineChars="200"/>
        <w:textAlignment w:val="auto"/>
        <w:rPr>
          <w:rFonts w:hint="default" w:ascii="Times New Roman" w:hAnsi="Times New Roman" w:eastAsia="楷体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楷体_GB2312" w:cs="Times New Roman"/>
          <w:b w:val="0"/>
          <w:bCs w:val="0"/>
          <w:i w:val="0"/>
          <w:iCs w:val="0"/>
          <w:caps w:val="0"/>
          <w:color w:val="auto"/>
          <w:spacing w:val="-6"/>
          <w:kern w:val="0"/>
          <w:sz w:val="32"/>
          <w:szCs w:val="32"/>
          <w:highlight w:val="none"/>
          <w:shd w:val="clear" w:color="auto" w:fill="auto"/>
          <w:lang w:val="en-US" w:eastAsia="zh-CN" w:bidi="ar"/>
        </w:rPr>
        <w:t>（二）深化课程建设，构建特色科学教育体系</w:t>
      </w:r>
    </w:p>
    <w:p w14:paraId="69A6A42F">
      <w:pPr>
        <w:keepNext/>
        <w:keepLines w:val="0"/>
        <w:pageBreakBefore w:val="0"/>
        <w:widowControl w:val="0"/>
        <w:kinsoku/>
        <w:wordWrap/>
        <w:overflowPunct w:val="0"/>
        <w:topLinePunct/>
        <w:autoSpaceDE/>
        <w:autoSpaceDN/>
        <w:bidi w:val="0"/>
        <w:adjustRightInd/>
        <w:snapToGrid/>
        <w:spacing w:line="540" w:lineRule="exact"/>
        <w:ind w:firstLine="619" w:firstLineChars="200"/>
        <w:textAlignment w:val="auto"/>
        <w:rPr>
          <w:rFonts w:hint="default" w:ascii="Times New Roman" w:hAnsi="Times New Roman" w:eastAsia="楷体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仿宋_GB2312" w:cs="Times New Roman"/>
          <w:b/>
          <w:bCs/>
          <w:i w:val="0"/>
          <w:iCs w:val="0"/>
          <w:caps w:val="0"/>
          <w:color w:val="auto"/>
          <w:spacing w:val="-6"/>
          <w:kern w:val="0"/>
          <w:sz w:val="32"/>
          <w:szCs w:val="32"/>
          <w:highlight w:val="none"/>
          <w:u w:val="none"/>
          <w:shd w:val="clear" w:color="auto" w:fill="auto"/>
          <w:lang w:val="en-US" w:eastAsia="zh-CN" w:bidi="ar"/>
        </w:rPr>
        <w:t>1.深化以吴健雄科学家精神为核心的“大思政课”建设。</w:t>
      </w:r>
      <w:r>
        <w:rPr>
          <w:rFonts w:hint="default" w:ascii="Times New Roman" w:hAnsi="Times New Roman" w:eastAsia="仿宋_GB2312" w:cs="Times New Roman"/>
          <w:b w:val="0"/>
          <w:bCs w:val="0"/>
          <w:i w:val="0"/>
          <w:iCs w:val="0"/>
          <w:caps w:val="0"/>
          <w:color w:val="auto"/>
          <w:spacing w:val="-6"/>
          <w:kern w:val="0"/>
          <w:sz w:val="32"/>
          <w:szCs w:val="32"/>
          <w:highlight w:val="none"/>
          <w:u w:val="none"/>
          <w:shd w:val="clear" w:color="auto" w:fill="auto"/>
          <w:lang w:val="en-US" w:eastAsia="zh-CN" w:bidi="ar"/>
        </w:rPr>
        <w:t>各校立足吴健雄“爱国奉献、勇攀高峰、严谨求实”的精神内核，科学制定分学段思政教育目标体系。小学依托绘本共读、情境课堂等载体，启蒙“爱科学、爱祖国”的情感认知；初中结合物理、化学等学科教学，系统解析吴健雄在β衰变研究中的科学探索历程；高中通过课题研究等形式，深度挖掘吴健雄在中美科学交流中的担当精神内涵。积极联合本地高校、纪念馆等专业机构，系统梳理吴健雄生平事迹、科研成就及精神内涵，组织编写吴健雄精神科学教育系列材料。推进教育数字化建设，运用VR技术还原吴健雄科研场景，开发“吴健雄科学家精神”互动学习平台，实现虚拟实践与现实教学的有机融合。</w:t>
      </w:r>
    </w:p>
    <w:p w14:paraId="3603E852">
      <w:pPr>
        <w:keepNext/>
        <w:keepLines w:val="0"/>
        <w:pageBreakBefore w:val="0"/>
        <w:widowControl w:val="0"/>
        <w:kinsoku/>
        <w:wordWrap/>
        <w:overflowPunct w:val="0"/>
        <w:topLinePunct/>
        <w:autoSpaceDE/>
        <w:autoSpaceDN/>
        <w:bidi w:val="0"/>
        <w:adjustRightInd/>
        <w:snapToGrid/>
        <w:spacing w:line="540" w:lineRule="exact"/>
        <w:ind w:firstLine="619" w:firstLineChars="200"/>
        <w:textAlignment w:val="auto"/>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仿宋_GB2312" w:cs="Times New Roman"/>
          <w:b/>
          <w:bCs/>
          <w:i w:val="0"/>
          <w:iCs w:val="0"/>
          <w:caps w:val="0"/>
          <w:color w:val="auto"/>
          <w:spacing w:val="-6"/>
          <w:kern w:val="0"/>
          <w:sz w:val="32"/>
          <w:szCs w:val="32"/>
          <w:highlight w:val="none"/>
          <w:shd w:val="clear" w:color="auto" w:fill="auto"/>
          <w:lang w:val="en-US" w:eastAsia="zh-CN" w:bidi="ar"/>
        </w:rPr>
        <w:t>2.发挥学科课程载体作用。</w:t>
      </w: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贯彻落实上级科学教育政策，全面推进“国家—地方—校本”三级课程融合体系建设，强化各学段科学教育衔接，统筹校内外资源，构建协同育人生态。严格教辅读物监管，纳入规范管理，确保内容科学权威。开齐开足科学类课程</w:t>
      </w:r>
      <w:r>
        <w:rPr>
          <w:rFonts w:hint="default" w:ascii="Times New Roman" w:hAnsi="Times New Roman" w:eastAsia="仿宋_GB2312" w:cs="Times New Roman"/>
          <w:b w:val="0"/>
          <w:bCs w:val="0"/>
          <w:i w:val="0"/>
          <w:iCs w:val="0"/>
          <w:caps w:val="0"/>
          <w:color w:val="000000" w:themeColor="text1"/>
          <w:spacing w:val="-6"/>
          <w:kern w:val="0"/>
          <w:sz w:val="32"/>
          <w:szCs w:val="32"/>
          <w:highlight w:val="none"/>
          <w:shd w:val="clear" w:color="auto" w:fill="auto"/>
          <w:lang w:val="en-US" w:eastAsia="zh-CN" w:bidi="ar"/>
          <w14:textFill>
            <w14:solidFill>
              <w14:schemeClr w14:val="tx1"/>
            </w14:solidFill>
          </w14:textFill>
        </w:rPr>
        <w:t>。</w:t>
      </w: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小学一至二年级每周不少于1课时；三至六年级每周不少于2课时；初高中高质量实施物理、化学、生物、地理、信息科技、通用技术等课程。严格落实课标要求，保障不少于10%课时用于跨学科主题学习，促进知识融合与实践应用，全面提升学生科学素养与综合能力。</w:t>
      </w:r>
    </w:p>
    <w:p w14:paraId="59462888">
      <w:pPr>
        <w:keepNext/>
        <w:keepLines w:val="0"/>
        <w:pageBreakBefore w:val="0"/>
        <w:widowControl w:val="0"/>
        <w:kinsoku/>
        <w:wordWrap/>
        <w:overflowPunct w:val="0"/>
        <w:topLinePunct/>
        <w:autoSpaceDE/>
        <w:autoSpaceDN/>
        <w:bidi w:val="0"/>
        <w:adjustRightInd/>
        <w:snapToGrid/>
        <w:spacing w:line="540" w:lineRule="exact"/>
        <w:ind w:firstLine="619" w:firstLineChars="200"/>
        <w:textAlignment w:val="auto"/>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仿宋_GB2312" w:cs="Times New Roman"/>
          <w:b/>
          <w:bCs/>
          <w:i w:val="0"/>
          <w:iCs w:val="0"/>
          <w:caps w:val="0"/>
          <w:color w:val="auto"/>
          <w:spacing w:val="-6"/>
          <w:kern w:val="0"/>
          <w:sz w:val="32"/>
          <w:szCs w:val="32"/>
          <w:highlight w:val="none"/>
          <w:shd w:val="clear" w:color="auto" w:fill="auto"/>
          <w:lang w:val="en-US" w:eastAsia="zh-CN" w:bidi="ar"/>
        </w:rPr>
        <w:t>3.开发具有本土特色的科学教育课程。</w:t>
      </w: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各校（园）立足太仓本土资源，以吴健雄科学家精神为主线，分层构建特色课程。幼儿园</w:t>
      </w:r>
      <w:r>
        <w:rPr>
          <w:rFonts w:hint="eastAsia"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、小学</w:t>
      </w: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设“启蒙之路”，</w:t>
      </w:r>
      <w:r>
        <w:rPr>
          <w:rFonts w:hint="eastAsia"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初中</w:t>
      </w: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设“探索之路”，</w:t>
      </w:r>
      <w:r>
        <w:rPr>
          <w:rFonts w:hint="eastAsia"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高中</w:t>
      </w: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设“实践之路”，定期评选精品课、优秀案例，聚焦机器人、编程、航模等特色领域，打造市级科创校本课程。优化“1+1+X”课后服务，融入自然观测、工程实践、创客项目等，增强科学活动吸引力。强化素养导向的作业与命题研究，增加应用性、综合性、探究类试题，全面考查科学素养。全面推进STEM教育与项目化学习，以真实问题驱动跨学科实践，培养学生创新力、协作力与解决实际问题的能力，推动科学教育更契合时代与学生成长需求。</w:t>
      </w:r>
    </w:p>
    <w:p w14:paraId="5D3F236F">
      <w:pPr>
        <w:keepNext/>
        <w:keepLines w:val="0"/>
        <w:pageBreakBefore w:val="0"/>
        <w:widowControl w:val="0"/>
        <w:kinsoku/>
        <w:wordWrap/>
        <w:overflowPunct w:val="0"/>
        <w:topLinePunct/>
        <w:autoSpaceDE/>
        <w:autoSpaceDN/>
        <w:bidi w:val="0"/>
        <w:adjustRightInd/>
        <w:snapToGrid/>
        <w:spacing w:line="540" w:lineRule="exact"/>
        <w:ind w:firstLine="616" w:firstLineChars="200"/>
        <w:textAlignment w:val="auto"/>
        <w:rPr>
          <w:rFonts w:hint="default" w:ascii="Times New Roman" w:hAnsi="Times New Roman" w:eastAsia="楷体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楷体_GB2312" w:cs="Times New Roman"/>
          <w:b w:val="0"/>
          <w:bCs w:val="0"/>
          <w:i w:val="0"/>
          <w:iCs w:val="0"/>
          <w:caps w:val="0"/>
          <w:color w:val="auto"/>
          <w:spacing w:val="-6"/>
          <w:kern w:val="0"/>
          <w:sz w:val="32"/>
          <w:szCs w:val="32"/>
          <w:highlight w:val="none"/>
          <w:shd w:val="clear" w:color="auto" w:fill="auto"/>
          <w:lang w:val="en-US" w:eastAsia="zh-CN" w:bidi="ar"/>
        </w:rPr>
        <w:t>（三）丰富活动开展，激发科学学习热情</w:t>
      </w:r>
    </w:p>
    <w:p w14:paraId="0770C1B3">
      <w:pPr>
        <w:keepNext/>
        <w:keepLines w:val="0"/>
        <w:pageBreakBefore w:val="0"/>
        <w:widowControl w:val="0"/>
        <w:kinsoku/>
        <w:wordWrap/>
        <w:overflowPunct w:val="0"/>
        <w:topLinePunct/>
        <w:autoSpaceDE/>
        <w:autoSpaceDN/>
        <w:bidi w:val="0"/>
        <w:adjustRightInd/>
        <w:snapToGrid/>
        <w:spacing w:line="540" w:lineRule="exact"/>
        <w:ind w:firstLine="619" w:firstLineChars="200"/>
        <w:textAlignment w:val="auto"/>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仿宋_GB2312" w:cs="Times New Roman"/>
          <w:b/>
          <w:bCs/>
          <w:snapToGrid w:val="0"/>
          <w:color w:val="auto"/>
          <w:spacing w:val="-6"/>
          <w:kern w:val="0"/>
          <w:sz w:val="32"/>
          <w:szCs w:val="32"/>
          <w:highlight w:val="none"/>
          <w:lang w:val="en-US" w:eastAsia="zh-CN" w:bidi="ar-SA"/>
        </w:rPr>
        <w:t>1.举办科学主题竞赛。</w:t>
      </w: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以吴健雄科学家精神为引领，持续打造“健雄杯”科学竞赛品牌，严格对标教育部竞赛白名单，每年规范举办。设置实验操作、自然科学、人文综合、科技艺体等多元赛道，构建全学科覆盖的竞技平台，促进实践力、创新力与综合素养协同发展。推进大中小幼贯通培养，建立潜质学生发现与跟踪机制，精准对接“英才计划”“强基计划”及省市级“未来科学家”“薪火计划”等项目，实施定向培育。组建由高校教授、科技专家、教学名师构成的导师团，依托科研院所、高新企业设立实践基地，遴选优秀学生参与真实科研项目，实现“选拔—培养—实践”全链条贯通，为科技后备人才成长厚植沃土。</w:t>
      </w:r>
    </w:p>
    <w:p w14:paraId="08B0D1C2">
      <w:pPr>
        <w:keepNext/>
        <w:keepLines w:val="0"/>
        <w:pageBreakBefore w:val="0"/>
        <w:widowControl w:val="0"/>
        <w:kinsoku/>
        <w:wordWrap/>
        <w:overflowPunct w:val="0"/>
        <w:topLinePunct/>
        <w:autoSpaceDE/>
        <w:autoSpaceDN/>
        <w:bidi w:val="0"/>
        <w:adjustRightInd/>
        <w:snapToGrid/>
        <w:spacing w:line="540" w:lineRule="exact"/>
        <w:ind w:firstLine="619" w:firstLineChars="200"/>
        <w:textAlignment w:val="auto"/>
        <w:rPr>
          <w:rFonts w:hint="default" w:ascii="Times New Roman" w:hAnsi="Times New Roman" w:eastAsia="仿宋_GB2312" w:cs="Times New Roman"/>
          <w:bCs/>
          <w:color w:val="auto"/>
          <w:spacing w:val="-6"/>
          <w:sz w:val="32"/>
          <w:szCs w:val="32"/>
          <w:highlight w:val="none"/>
          <w:lang w:val="en-US" w:eastAsia="zh-CN"/>
        </w:rPr>
      </w:pPr>
      <w:r>
        <w:rPr>
          <w:rFonts w:hint="default" w:ascii="Times New Roman" w:hAnsi="Times New Roman" w:eastAsia="仿宋_GB2312" w:cs="Times New Roman"/>
          <w:b/>
          <w:bCs/>
          <w:snapToGrid w:val="0"/>
          <w:color w:val="auto"/>
          <w:spacing w:val="-6"/>
          <w:kern w:val="0"/>
          <w:sz w:val="32"/>
          <w:szCs w:val="32"/>
          <w:highlight w:val="none"/>
          <w:lang w:val="en-US" w:eastAsia="zh-CN" w:bidi="ar-SA"/>
        </w:rPr>
        <w:t>2.开展科普实践活动。</w:t>
      </w: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以科技周、科普月、校园科技节为抓手，构建全域科学普及网络。每年每校至少开展3场吴健雄主题科普讲座或实验活动，邀请科学家进校园。组织“科学小达人”实践项目，引导学生参与调查与科普传播。社会实践课程中，四、八年级在社会实践基地</w:t>
      </w:r>
      <w:r>
        <w:rPr>
          <w:rFonts w:hint="default" w:ascii="Times New Roman" w:hAnsi="Times New Roman" w:eastAsia="仿宋_GB2312" w:cs="Times New Roman"/>
          <w:b w:val="0"/>
          <w:bCs w:val="0"/>
          <w:i w:val="0"/>
          <w:iCs w:val="0"/>
          <w:caps w:val="0"/>
          <w:color w:val="000000" w:themeColor="text1"/>
          <w:spacing w:val="-6"/>
          <w:kern w:val="0"/>
          <w:sz w:val="32"/>
          <w:szCs w:val="32"/>
          <w:highlight w:val="none"/>
          <w:shd w:val="clear" w:color="auto" w:fill="auto"/>
          <w:lang w:val="en-US" w:eastAsia="zh-CN" w:bidi="ar"/>
          <w14:textFill>
            <w14:solidFill>
              <w14:schemeClr w14:val="tx1"/>
            </w14:solidFill>
          </w14:textFill>
        </w:rPr>
        <w:t>增设科学课程</w:t>
      </w: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强化价值体认与责任担当。深化“馆校合作”，联动高校、科技馆、实验室、高新企业等，推动科研场所向中小学开放。设立教师实践工作室，开发专项培训，共建资源体系，赋能校本课程。重点支持吴健雄纪念馆建设，打造特色教育基地。联合市科协，依托太仓科技馆，持续升级“探索与惊奇—行走的课堂”品牌，点燃青少年科学热情，激发创新潜能。</w:t>
      </w:r>
    </w:p>
    <w:p w14:paraId="2FFCF395">
      <w:pPr>
        <w:keepNext/>
        <w:keepLines w:val="0"/>
        <w:pageBreakBefore w:val="0"/>
        <w:widowControl w:val="0"/>
        <w:kinsoku/>
        <w:wordWrap/>
        <w:overflowPunct w:val="0"/>
        <w:topLinePunct/>
        <w:autoSpaceDE/>
        <w:autoSpaceDN/>
        <w:bidi w:val="0"/>
        <w:adjustRightInd/>
        <w:snapToGrid/>
        <w:spacing w:line="540" w:lineRule="exact"/>
        <w:ind w:firstLine="616" w:firstLineChars="200"/>
        <w:textAlignment w:val="auto"/>
        <w:rPr>
          <w:rFonts w:hint="default" w:ascii="Times New Roman" w:hAnsi="Times New Roman" w:eastAsia="楷体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楷体_GB2312" w:cs="Times New Roman"/>
          <w:b w:val="0"/>
          <w:bCs w:val="0"/>
          <w:i w:val="0"/>
          <w:iCs w:val="0"/>
          <w:caps w:val="0"/>
          <w:color w:val="auto"/>
          <w:spacing w:val="-6"/>
          <w:kern w:val="0"/>
          <w:sz w:val="32"/>
          <w:szCs w:val="32"/>
          <w:highlight w:val="none"/>
          <w:shd w:val="clear" w:color="auto" w:fill="auto"/>
          <w:lang w:val="en-US" w:eastAsia="zh-CN" w:bidi="ar"/>
        </w:rPr>
        <w:t>（四）加强资源整合，优化科学教育生态</w:t>
      </w:r>
    </w:p>
    <w:p w14:paraId="37162DEC">
      <w:pPr>
        <w:keepNext/>
        <w:keepLines w:val="0"/>
        <w:pageBreakBefore w:val="0"/>
        <w:widowControl w:val="0"/>
        <w:kinsoku/>
        <w:wordWrap/>
        <w:overflowPunct w:val="0"/>
        <w:topLinePunct/>
        <w:autoSpaceDE/>
        <w:autoSpaceDN/>
        <w:bidi w:val="0"/>
        <w:adjustRightInd/>
        <w:snapToGrid/>
        <w:spacing w:line="540" w:lineRule="exact"/>
        <w:ind w:firstLine="619" w:firstLineChars="200"/>
        <w:textAlignment w:val="auto"/>
        <w:rPr>
          <w:rFonts w:hint="default" w:ascii="Times New Roman" w:hAnsi="Times New Roman" w:eastAsia="仿宋_GB2312" w:cs="Times New Roman"/>
          <w:b w:val="0"/>
          <w:bCs/>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仿宋_GB2312" w:cs="Times New Roman"/>
          <w:b/>
          <w:bCs/>
          <w:i w:val="0"/>
          <w:iCs w:val="0"/>
          <w:caps w:val="0"/>
          <w:color w:val="auto"/>
          <w:spacing w:val="-6"/>
          <w:kern w:val="0"/>
          <w:sz w:val="32"/>
          <w:szCs w:val="32"/>
          <w:highlight w:val="none"/>
          <w:shd w:val="clear" w:color="auto" w:fill="auto"/>
          <w:lang w:val="en-US" w:eastAsia="zh-CN" w:bidi="ar"/>
        </w:rPr>
        <w:t>1.整合师资资源。</w:t>
      </w:r>
      <w:r>
        <w:rPr>
          <w:rFonts w:hint="default" w:ascii="Times New Roman" w:hAnsi="Times New Roman" w:eastAsia="仿宋_GB2312" w:cs="Times New Roman"/>
          <w:b w:val="0"/>
          <w:bCs/>
          <w:i w:val="0"/>
          <w:iCs w:val="0"/>
          <w:caps w:val="0"/>
          <w:color w:val="auto"/>
          <w:spacing w:val="-6"/>
          <w:kern w:val="0"/>
          <w:sz w:val="32"/>
          <w:szCs w:val="32"/>
          <w:highlight w:val="none"/>
          <w:shd w:val="clear" w:color="auto" w:fill="auto"/>
          <w:lang w:val="en-US" w:eastAsia="zh-CN" w:bidi="ar"/>
        </w:rPr>
        <w:t>全面加强科学教育师资队伍建设，以师德师风为根基，厚植教师家国情怀与育人担当。加大理工类硕博人才引进力度，力争每所小学配备至少1名理工背景硕士科学教师，初高中配齐物理、化学、生物、地理、信息科技、通用技术等学科专任教师。2025年底前，实现中小学“科学副校长”全覆盖，由高校、科研院所、科技场馆及企业专家担任，建立常态化联络机制。</w:t>
      </w:r>
      <w:r>
        <w:rPr>
          <w:rFonts w:hint="default" w:ascii="Times New Roman" w:hAnsi="Times New Roman" w:eastAsia="仿宋_GB2312" w:cs="Times New Roman"/>
          <w:b w:val="0"/>
          <w:bCs/>
          <w:i w:val="0"/>
          <w:iCs w:val="0"/>
          <w:caps w:val="0"/>
          <w:color w:val="000000" w:themeColor="text1"/>
          <w:spacing w:val="-6"/>
          <w:kern w:val="0"/>
          <w:sz w:val="32"/>
          <w:szCs w:val="32"/>
          <w:highlight w:val="none"/>
          <w:shd w:val="clear" w:color="auto" w:fill="auto"/>
          <w:lang w:val="en-US" w:eastAsia="zh-CN" w:bidi="ar"/>
          <w14:textFill>
            <w14:solidFill>
              <w14:schemeClr w14:val="tx1"/>
            </w14:solidFill>
          </w14:textFill>
        </w:rPr>
        <w:t>配强实验室管理员与科技辅导员，原则上每校至少设立1名科技辅导员。推</w:t>
      </w:r>
      <w:r>
        <w:rPr>
          <w:rFonts w:hint="default" w:ascii="Times New Roman" w:hAnsi="Times New Roman" w:eastAsia="仿宋_GB2312" w:cs="Times New Roman"/>
          <w:b w:val="0"/>
          <w:bCs/>
          <w:i w:val="0"/>
          <w:iCs w:val="0"/>
          <w:caps w:val="0"/>
          <w:color w:val="auto"/>
          <w:spacing w:val="-6"/>
          <w:kern w:val="0"/>
          <w:sz w:val="32"/>
          <w:szCs w:val="32"/>
          <w:highlight w:val="none"/>
          <w:shd w:val="clear" w:color="auto" w:fill="auto"/>
          <w:lang w:val="en-US" w:eastAsia="zh-CN" w:bidi="ar"/>
        </w:rPr>
        <w:t>动优质师资跨校走教、支教帮扶，促进城乡、校际资源共享。健全教研体系，搭建跨学段、跨学科、跨校域研修平台，建设科学教育资源库。市级培训专设科学教师项目，支持参与“国培”“优师计划”，全面提升专业素养与实践能力。探索多元评价激励机制，在工作量认定、职称评聘、绩效分配等方面予以倾斜，充分激发教师投身科学教育的内生动力。</w:t>
      </w:r>
    </w:p>
    <w:p w14:paraId="19F99CAA">
      <w:pPr>
        <w:keepNext/>
        <w:keepLines w:val="0"/>
        <w:pageBreakBefore w:val="0"/>
        <w:widowControl w:val="0"/>
        <w:kinsoku/>
        <w:wordWrap/>
        <w:overflowPunct w:val="0"/>
        <w:topLinePunct/>
        <w:autoSpaceDE/>
        <w:autoSpaceDN/>
        <w:bidi w:val="0"/>
        <w:adjustRightInd/>
        <w:snapToGrid/>
        <w:spacing w:line="540" w:lineRule="exact"/>
        <w:ind w:firstLine="619" w:firstLineChars="200"/>
        <w:textAlignment w:val="auto"/>
        <w:rPr>
          <w:rFonts w:hint="default" w:ascii="Times New Roman" w:hAnsi="Times New Roman" w:eastAsia="仿宋_GB2312" w:cs="Times New Roman"/>
          <w:b w:val="0"/>
          <w:bCs/>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仿宋_GB2312" w:cs="Times New Roman"/>
          <w:b/>
          <w:bCs/>
          <w:i w:val="0"/>
          <w:iCs w:val="0"/>
          <w:caps w:val="0"/>
          <w:color w:val="auto"/>
          <w:spacing w:val="-6"/>
          <w:kern w:val="0"/>
          <w:sz w:val="32"/>
          <w:szCs w:val="32"/>
          <w:highlight w:val="none"/>
          <w:shd w:val="clear" w:color="auto" w:fill="auto"/>
          <w:lang w:val="en-US" w:eastAsia="zh-CN" w:bidi="ar"/>
        </w:rPr>
        <w:t>2.整合社会资源。</w:t>
      </w:r>
      <w:r>
        <w:rPr>
          <w:rFonts w:hint="default" w:ascii="Times New Roman" w:hAnsi="Times New Roman" w:eastAsia="仿宋_GB2312" w:cs="Times New Roman"/>
          <w:b w:val="0"/>
          <w:bCs/>
          <w:i w:val="0"/>
          <w:iCs w:val="0"/>
          <w:caps w:val="0"/>
          <w:color w:val="auto"/>
          <w:spacing w:val="-6"/>
          <w:kern w:val="0"/>
          <w:sz w:val="32"/>
          <w:szCs w:val="32"/>
          <w:highlight w:val="none"/>
          <w:shd w:val="clear" w:color="auto" w:fill="auto"/>
          <w:lang w:val="en-US" w:eastAsia="zh-CN" w:bidi="ar"/>
        </w:rPr>
        <w:t>推动科学教育融入家庭教育，强化科普价值引领。开设“家庭教育大讲堂”科学专题，推出家庭科普公开课、亲子指导课，提升家长科学育人能力。推广“家庭实验室”“亲子小实验”等活动，结合吴健雄科学家精神开展家庭科普研学，让科学走进日常生活。联动传统媒体与新媒体平台，及时宣传学校科学教育成果、优秀学生案例，讲好太仓科学教育故事，扩大社会影响力。通过家校社协同、线上线下联动，营造崇尚科学、尊重创新、支持探索的良好社会氛围，为青少年科学素养培育夯实家庭基础，凝聚社会合力。</w:t>
      </w:r>
    </w:p>
    <w:p w14:paraId="77E09FE0">
      <w:pPr>
        <w:pStyle w:val="10"/>
        <w:keepNext/>
        <w:keepLines w:val="0"/>
        <w:pageBreakBefore w:val="0"/>
        <w:widowControl w:val="0"/>
        <w:numPr>
          <w:ilvl w:val="0"/>
          <w:numId w:val="0"/>
        </w:numPr>
        <w:suppressLineNumbers w:val="0"/>
        <w:kinsoku/>
        <w:wordWrap/>
        <w:overflowPunct w:val="0"/>
        <w:topLinePunct/>
        <w:autoSpaceDE/>
        <w:autoSpaceDN/>
        <w:bidi w:val="0"/>
        <w:adjustRightInd/>
        <w:snapToGrid/>
        <w:spacing w:before="0" w:beforeAutospacing="0" w:after="0" w:afterAutospacing="0" w:line="540" w:lineRule="exact"/>
        <w:ind w:right="0" w:rightChars="0" w:firstLine="616" w:firstLineChars="200"/>
        <w:jc w:val="both"/>
        <w:textAlignment w:val="auto"/>
        <w:rPr>
          <w:rFonts w:hint="default" w:ascii="Times New Roman" w:hAnsi="Times New Roman" w:eastAsia="黑体"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黑体" w:cs="Times New Roman"/>
          <w:b w:val="0"/>
          <w:bCs w:val="0"/>
          <w:i w:val="0"/>
          <w:iCs w:val="0"/>
          <w:caps w:val="0"/>
          <w:color w:val="auto"/>
          <w:spacing w:val="-6"/>
          <w:kern w:val="0"/>
          <w:sz w:val="32"/>
          <w:szCs w:val="32"/>
          <w:highlight w:val="none"/>
          <w:shd w:val="clear" w:color="auto" w:fill="auto"/>
          <w:lang w:val="en-US" w:eastAsia="zh-CN" w:bidi="ar"/>
        </w:rPr>
        <w:t>三、保障机制</w:t>
      </w:r>
    </w:p>
    <w:p w14:paraId="7FD724B8">
      <w:pPr>
        <w:pStyle w:val="10"/>
        <w:keepNext/>
        <w:keepLines w:val="0"/>
        <w:pageBreakBefore w:val="0"/>
        <w:widowControl w:val="0"/>
        <w:numPr>
          <w:ilvl w:val="0"/>
          <w:numId w:val="0"/>
        </w:numPr>
        <w:suppressLineNumbers w:val="0"/>
        <w:kinsoku/>
        <w:wordWrap/>
        <w:overflowPunct w:val="0"/>
        <w:topLinePunct/>
        <w:autoSpaceDE/>
        <w:autoSpaceDN/>
        <w:bidi w:val="0"/>
        <w:adjustRightInd/>
        <w:snapToGrid/>
        <w:spacing w:before="0" w:beforeAutospacing="0" w:after="0" w:afterAutospacing="0" w:line="540" w:lineRule="exact"/>
        <w:ind w:right="0" w:rightChars="0" w:firstLine="616" w:firstLineChars="200"/>
        <w:jc w:val="both"/>
        <w:textAlignment w:val="auto"/>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楷体_GB2312" w:cs="Times New Roman"/>
          <w:b w:val="0"/>
          <w:bCs w:val="0"/>
          <w:i w:val="0"/>
          <w:iCs w:val="0"/>
          <w:caps w:val="0"/>
          <w:color w:val="auto"/>
          <w:spacing w:val="-6"/>
          <w:kern w:val="0"/>
          <w:sz w:val="32"/>
          <w:szCs w:val="32"/>
          <w:highlight w:val="none"/>
          <w:shd w:val="clear" w:color="auto" w:fill="auto"/>
          <w:lang w:val="en-US" w:eastAsia="zh-CN" w:bidi="ar"/>
        </w:rPr>
        <w:t>（一）加强领导，健全机制。</w:t>
      </w: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市教育局、科协牵头，联合相关部门定期召开联席会议，统筹协调中小学科学教育发展规划制定、教师能力提升、科普基地共建等核心任务，构建“政策共商、资源共享、难题共解”的协同机制。加强组织领导，健全工作机制，定期评估反馈，确保工作落到实处。</w:t>
      </w:r>
    </w:p>
    <w:p w14:paraId="72406EBA">
      <w:pPr>
        <w:pStyle w:val="10"/>
        <w:keepNext/>
        <w:keepLines w:val="0"/>
        <w:pageBreakBefore w:val="0"/>
        <w:widowControl w:val="0"/>
        <w:numPr>
          <w:ilvl w:val="0"/>
          <w:numId w:val="0"/>
        </w:numPr>
        <w:suppressLineNumbers w:val="0"/>
        <w:kinsoku/>
        <w:wordWrap/>
        <w:overflowPunct w:val="0"/>
        <w:topLinePunct/>
        <w:autoSpaceDE/>
        <w:autoSpaceDN/>
        <w:bidi w:val="0"/>
        <w:adjustRightInd/>
        <w:snapToGrid/>
        <w:spacing w:before="0" w:beforeAutospacing="0" w:after="0" w:afterAutospacing="0" w:line="540" w:lineRule="exact"/>
        <w:ind w:right="0" w:rightChars="0" w:firstLine="616" w:firstLineChars="200"/>
        <w:jc w:val="both"/>
        <w:textAlignment w:val="auto"/>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楷体_GB2312" w:cs="Times New Roman"/>
          <w:b w:val="0"/>
          <w:bCs w:val="0"/>
          <w:i w:val="0"/>
          <w:iCs w:val="0"/>
          <w:caps w:val="0"/>
          <w:color w:val="auto"/>
          <w:spacing w:val="-6"/>
          <w:kern w:val="0"/>
          <w:sz w:val="32"/>
          <w:szCs w:val="32"/>
          <w:highlight w:val="none"/>
          <w:shd w:val="clear" w:color="auto" w:fill="auto"/>
          <w:lang w:val="en-US" w:eastAsia="zh-CN" w:bidi="ar"/>
        </w:rPr>
        <w:t>（二）多元投入，保障经费。</w:t>
      </w: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鼓励企业、社会组织捐赠科学教育设备和资金，设立由政府主导、企业和社会组织捐助的“健雄科学教育专项基金”，用于支持科学教育平台建设、课程开发、活动开展等。各校广泛争取社会资助为学校搭建科学教育实践场所，共同打造学校科技特色精品项目。</w:t>
      </w:r>
    </w:p>
    <w:p w14:paraId="4D09E8FE">
      <w:pPr>
        <w:keepNext/>
        <w:keepLines w:val="0"/>
        <w:pageBreakBefore w:val="0"/>
        <w:widowControl w:val="0"/>
        <w:kinsoku/>
        <w:wordWrap/>
        <w:overflowPunct w:val="0"/>
        <w:topLinePunct/>
        <w:autoSpaceDE/>
        <w:autoSpaceDN/>
        <w:bidi w:val="0"/>
        <w:adjustRightInd/>
        <w:snapToGrid/>
        <w:spacing w:line="540" w:lineRule="exact"/>
        <w:ind w:firstLine="616" w:firstLineChars="200"/>
        <w:textAlignment w:val="auto"/>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楷体_GB2312" w:cs="Times New Roman"/>
          <w:b w:val="0"/>
          <w:bCs w:val="0"/>
          <w:i w:val="0"/>
          <w:iCs w:val="0"/>
          <w:caps w:val="0"/>
          <w:color w:val="auto"/>
          <w:spacing w:val="-6"/>
          <w:kern w:val="0"/>
          <w:sz w:val="32"/>
          <w:szCs w:val="32"/>
          <w:highlight w:val="none"/>
          <w:shd w:val="clear" w:color="auto" w:fill="auto"/>
          <w:lang w:val="en-US" w:eastAsia="zh-CN" w:bidi="ar"/>
        </w:rPr>
        <w:t>（三）强化监管，督促落实。</w:t>
      </w: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市教育局定期分析研判青少年科学素质发展情况，将科学教育工作推进情况纳入教育重点工作专项督导和办学质量评价指标内容。严格执行财政经费管理规章和财经纪律，专款专用，严防违规违纪和廉政风险。</w:t>
      </w:r>
    </w:p>
    <w:p w14:paraId="775131C8">
      <w:pPr>
        <w:keepNext/>
        <w:keepLines w:val="0"/>
        <w:pageBreakBefore w:val="0"/>
        <w:widowControl w:val="0"/>
        <w:kinsoku/>
        <w:wordWrap/>
        <w:overflowPunct w:val="0"/>
        <w:topLinePunct/>
        <w:autoSpaceDE/>
        <w:autoSpaceDN/>
        <w:bidi w:val="0"/>
        <w:adjustRightInd/>
        <w:snapToGrid/>
        <w:spacing w:line="540" w:lineRule="exact"/>
        <w:ind w:firstLine="616" w:firstLineChars="200"/>
        <w:textAlignment w:val="auto"/>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楷体_GB2312" w:cs="Times New Roman"/>
          <w:b w:val="0"/>
          <w:bCs w:val="0"/>
          <w:i w:val="0"/>
          <w:iCs w:val="0"/>
          <w:caps w:val="0"/>
          <w:color w:val="auto"/>
          <w:spacing w:val="-6"/>
          <w:kern w:val="0"/>
          <w:sz w:val="32"/>
          <w:szCs w:val="32"/>
          <w:highlight w:val="none"/>
          <w:shd w:val="clear" w:color="auto" w:fill="auto"/>
          <w:lang w:val="en-US" w:eastAsia="zh-CN" w:bidi="ar"/>
        </w:rPr>
        <w:t>（四）协同联动，深化合作。</w:t>
      </w: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市教育局牵头，联合市科技局、文体广旅局、科协等部门构建资源联动机制，动态统筹调配区域内实验室设备、科普场馆、产业园区等实体资源，打造“需求对接、资源整合、项目共建”的联动平台。</w:t>
      </w:r>
    </w:p>
    <w:p w14:paraId="69FABBE8">
      <w:pPr>
        <w:keepNext/>
        <w:keepLines w:val="0"/>
        <w:pageBreakBefore w:val="0"/>
        <w:widowControl w:val="0"/>
        <w:kinsoku/>
        <w:wordWrap/>
        <w:overflowPunct w:val="0"/>
        <w:topLinePunct/>
        <w:autoSpaceDE/>
        <w:autoSpaceDN/>
        <w:bidi w:val="0"/>
        <w:adjustRightInd/>
        <w:snapToGrid/>
        <w:spacing w:line="540" w:lineRule="exact"/>
        <w:ind w:firstLine="616" w:firstLineChars="200"/>
        <w:textAlignment w:val="auto"/>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pPr>
    </w:p>
    <w:p w14:paraId="00401317">
      <w:pPr>
        <w:keepNext/>
        <w:keepLines w:val="0"/>
        <w:pageBreakBefore w:val="0"/>
        <w:widowControl w:val="0"/>
        <w:kinsoku/>
        <w:wordWrap/>
        <w:overflowPunct w:val="0"/>
        <w:topLinePunct/>
        <w:autoSpaceDE/>
        <w:autoSpaceDN/>
        <w:bidi w:val="0"/>
        <w:adjustRightInd/>
        <w:snapToGrid/>
        <w:spacing w:line="540" w:lineRule="exact"/>
        <w:ind w:firstLine="616" w:firstLineChars="200"/>
        <w:textAlignment w:val="auto"/>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附件：太仓市中小学吴健雄科学教育工作任务清单</w:t>
      </w:r>
    </w:p>
    <w:p w14:paraId="69364B9F">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t xml:space="preserve"> </w:t>
      </w:r>
    </w:p>
    <w:p w14:paraId="4A2C8634">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pPr>
    </w:p>
    <w:p w14:paraId="0B6DF7C0">
      <w:pPr>
        <w:keepNext w:val="0"/>
        <w:keepLines w:val="0"/>
        <w:pageBreakBefore w:val="0"/>
        <w:widowControl w:val="0"/>
        <w:kinsoku/>
        <w:wordWrap/>
        <w:overflowPunct/>
        <w:topLinePunct w:val="0"/>
        <w:autoSpaceDE/>
        <w:autoSpaceDN/>
        <w:bidi w:val="0"/>
        <w:adjustRightInd/>
        <w:snapToGrid/>
        <w:spacing w:line="560" w:lineRule="exact"/>
        <w:ind w:firstLine="616" w:firstLineChars="200"/>
        <w:textAlignment w:val="auto"/>
        <w:rPr>
          <w:rFonts w:hint="default" w:ascii="Times New Roman" w:hAnsi="Times New Roman" w:eastAsia="仿宋_GB2312" w:cs="Times New Roman"/>
          <w:b w:val="0"/>
          <w:bCs w:val="0"/>
          <w:i w:val="0"/>
          <w:iCs w:val="0"/>
          <w:caps w:val="0"/>
          <w:color w:val="auto"/>
          <w:spacing w:val="-6"/>
          <w:kern w:val="0"/>
          <w:sz w:val="32"/>
          <w:szCs w:val="32"/>
          <w:highlight w:val="none"/>
          <w:shd w:val="clear" w:color="auto" w:fill="auto"/>
          <w:lang w:val="en-US" w:eastAsia="zh-CN" w:bidi="ar"/>
        </w:rPr>
        <w:sectPr>
          <w:footerReference r:id="rId3" w:type="default"/>
          <w:pgSz w:w="11906" w:h="16838"/>
          <w:pgMar w:top="2041" w:right="1474" w:bottom="1928" w:left="1474" w:header="851" w:footer="992" w:gutter="0"/>
          <w:pgNumType w:fmt="decimal" w:start="2"/>
          <w:cols w:space="425" w:num="1"/>
          <w:docGrid w:type="lines" w:linePitch="312" w:charSpace="0"/>
        </w:sectPr>
      </w:pPr>
    </w:p>
    <w:p w14:paraId="348A534F">
      <w:pPr>
        <w:keepNext w:val="0"/>
        <w:keepLines w:val="0"/>
        <w:pageBreakBefore w:val="0"/>
        <w:widowControl w:val="0"/>
        <w:kinsoku/>
        <w:wordWrap/>
        <w:overflowPunct/>
        <w:topLinePunct w:val="0"/>
        <w:autoSpaceDE/>
        <w:autoSpaceDN/>
        <w:bidi w:val="0"/>
        <w:adjustRightInd/>
        <w:snapToGrid/>
        <w:spacing w:line="560" w:lineRule="exact"/>
        <w:ind w:firstLine="0"/>
        <w:jc w:val="left"/>
        <w:textAlignment w:val="auto"/>
        <w:rPr>
          <w:rFonts w:hint="default" w:ascii="Times New Roman" w:hAnsi="Times New Roman" w:eastAsia="黑体" w:cs="Times New Roman"/>
          <w:sz w:val="32"/>
          <w:szCs w:val="32"/>
          <w:highlight w:val="none"/>
          <w:lang w:val="en-US" w:eastAsia="zh-CN"/>
        </w:rPr>
      </w:pPr>
      <w:r>
        <w:rPr>
          <w:rFonts w:hint="default" w:ascii="Times New Roman" w:hAnsi="Times New Roman" w:eastAsia="黑体" w:cs="Times New Roman"/>
          <w:sz w:val="32"/>
          <w:szCs w:val="32"/>
          <w:highlight w:val="none"/>
          <w:lang w:val="en-US" w:eastAsia="zh-CN"/>
        </w:rPr>
        <w:t>附件：</w:t>
      </w:r>
    </w:p>
    <w:p w14:paraId="5771D321">
      <w:pPr>
        <w:keepNext w:val="0"/>
        <w:keepLines w:val="0"/>
        <w:pageBreakBefore w:val="0"/>
        <w:widowControl w:val="0"/>
        <w:kinsoku/>
        <w:wordWrap/>
        <w:overflowPunct/>
        <w:topLinePunct w:val="0"/>
        <w:autoSpaceDE/>
        <w:autoSpaceDN/>
        <w:bidi w:val="0"/>
        <w:adjustRightInd/>
        <w:snapToGrid/>
        <w:spacing w:line="560" w:lineRule="exact"/>
        <w:ind w:firstLine="0"/>
        <w:jc w:val="center"/>
        <w:textAlignment w:val="auto"/>
        <w:rPr>
          <w:rFonts w:hint="default" w:ascii="Times New Roman" w:hAnsi="Times New Roman" w:eastAsia="方正小标宋简体" w:cs="Times New Roman"/>
          <w:sz w:val="32"/>
          <w:szCs w:val="32"/>
          <w:highlight w:val="none"/>
          <w:lang w:val="en-US" w:eastAsia="zh-CN"/>
        </w:rPr>
      </w:pPr>
      <w:r>
        <w:rPr>
          <w:rFonts w:hint="default" w:ascii="Times New Roman" w:hAnsi="Times New Roman" w:eastAsia="方正小标宋简体" w:cs="Times New Roman"/>
          <w:sz w:val="32"/>
          <w:szCs w:val="32"/>
          <w:highlight w:val="none"/>
          <w:lang w:val="en-US" w:eastAsia="zh-CN"/>
        </w:rPr>
        <w:t>太仓市</w:t>
      </w:r>
      <w:r>
        <w:rPr>
          <w:rFonts w:hint="default" w:ascii="Times New Roman" w:hAnsi="Times New Roman" w:eastAsia="方正小标宋简体" w:cs="Times New Roman"/>
          <w:sz w:val="32"/>
          <w:szCs w:val="32"/>
          <w:highlight w:val="none"/>
        </w:rPr>
        <w:t>中小学</w:t>
      </w:r>
      <w:r>
        <w:rPr>
          <w:rFonts w:hint="default" w:ascii="Times New Roman" w:hAnsi="Times New Roman" w:eastAsia="方正小标宋简体" w:cs="Times New Roman"/>
          <w:sz w:val="32"/>
          <w:szCs w:val="32"/>
          <w:highlight w:val="none"/>
          <w:lang w:val="en-US" w:eastAsia="zh-CN"/>
        </w:rPr>
        <w:t>吴健雄科学教育工作任务清单</w:t>
      </w:r>
    </w:p>
    <w:p w14:paraId="115BBDD7">
      <w:pPr>
        <w:keepNext w:val="0"/>
        <w:keepLines w:val="0"/>
        <w:pageBreakBefore w:val="0"/>
        <w:widowControl w:val="0"/>
        <w:kinsoku/>
        <w:wordWrap/>
        <w:overflowPunct/>
        <w:topLinePunct w:val="0"/>
        <w:autoSpaceDE/>
        <w:autoSpaceDN/>
        <w:bidi w:val="0"/>
        <w:adjustRightInd/>
        <w:snapToGrid/>
        <w:spacing w:line="480" w:lineRule="exact"/>
        <w:ind w:firstLine="0"/>
        <w:jc w:val="center"/>
        <w:textAlignment w:val="auto"/>
        <w:rPr>
          <w:rFonts w:hint="default" w:ascii="Times New Roman" w:hAnsi="Times New Roman" w:eastAsia="方正小标宋简体" w:cs="Times New Roman"/>
          <w:sz w:val="44"/>
          <w:szCs w:val="44"/>
          <w:highlight w:val="none"/>
          <w:lang w:val="en-US" w:eastAsia="zh-CN"/>
        </w:rPr>
      </w:pPr>
    </w:p>
    <w:tbl>
      <w:tblPr>
        <w:tblStyle w:val="12"/>
        <w:tblW w:w="13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7"/>
        <w:gridCol w:w="2298"/>
        <w:gridCol w:w="3839"/>
        <w:gridCol w:w="1569"/>
        <w:gridCol w:w="2478"/>
        <w:gridCol w:w="2478"/>
      </w:tblGrid>
      <w:tr w14:paraId="4708C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17" w:type="dxa"/>
            <w:vAlign w:val="center"/>
          </w:tcPr>
          <w:p w14:paraId="3FEEAEF3">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黑体" w:cs="Times New Roman"/>
                <w:b w:val="0"/>
                <w:bCs w:val="0"/>
                <w:spacing w:val="-6"/>
                <w:sz w:val="18"/>
                <w:szCs w:val="18"/>
                <w:highlight w:val="none"/>
              </w:rPr>
            </w:pPr>
            <w:r>
              <w:rPr>
                <w:rFonts w:hint="default" w:ascii="Times New Roman" w:hAnsi="Times New Roman" w:eastAsia="黑体" w:cs="Times New Roman"/>
                <w:b w:val="0"/>
                <w:bCs w:val="0"/>
                <w:spacing w:val="-6"/>
                <w:sz w:val="18"/>
                <w:szCs w:val="18"/>
                <w:highlight w:val="none"/>
              </w:rPr>
              <w:t>序号</w:t>
            </w:r>
          </w:p>
        </w:tc>
        <w:tc>
          <w:tcPr>
            <w:tcW w:w="6137" w:type="dxa"/>
            <w:gridSpan w:val="2"/>
            <w:vAlign w:val="center"/>
          </w:tcPr>
          <w:p w14:paraId="743E86D4">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黑体" w:cs="Times New Roman"/>
                <w:b w:val="0"/>
                <w:bCs w:val="0"/>
                <w:spacing w:val="-6"/>
                <w:sz w:val="18"/>
                <w:szCs w:val="18"/>
                <w:highlight w:val="none"/>
              </w:rPr>
            </w:pPr>
            <w:r>
              <w:rPr>
                <w:rFonts w:hint="default" w:ascii="Times New Roman" w:hAnsi="Times New Roman" w:eastAsia="黑体" w:cs="Times New Roman"/>
                <w:b w:val="0"/>
                <w:bCs w:val="0"/>
                <w:spacing w:val="-6"/>
                <w:sz w:val="18"/>
                <w:szCs w:val="18"/>
                <w:highlight w:val="none"/>
              </w:rPr>
              <w:t>项目名称</w:t>
            </w:r>
          </w:p>
        </w:tc>
        <w:tc>
          <w:tcPr>
            <w:tcW w:w="1569" w:type="dxa"/>
            <w:vAlign w:val="center"/>
          </w:tcPr>
          <w:p w14:paraId="601757BF">
            <w:pPr>
              <w:keepNext w:val="0"/>
              <w:keepLines w:val="0"/>
              <w:widowControl/>
              <w:suppressLineNumbers w:val="0"/>
              <w:jc w:val="center"/>
              <w:textAlignment w:val="center"/>
              <w:rPr>
                <w:rFonts w:hint="default" w:ascii="Times New Roman" w:hAnsi="Times New Roman" w:eastAsia="黑体" w:cs="Times New Roman"/>
                <w:b w:val="0"/>
                <w:bCs w:val="0"/>
                <w:spacing w:val="-6"/>
                <w:sz w:val="18"/>
                <w:szCs w:val="18"/>
                <w:highlight w:val="none"/>
                <w:lang w:val="en-US" w:eastAsia="zh-CN"/>
              </w:rPr>
            </w:pPr>
            <w:r>
              <w:rPr>
                <w:rFonts w:hint="default" w:ascii="Times New Roman" w:hAnsi="Times New Roman" w:eastAsia="黑体" w:cs="Times New Roman"/>
                <w:i w:val="0"/>
                <w:iCs w:val="0"/>
                <w:color w:val="000000"/>
                <w:kern w:val="0"/>
                <w:sz w:val="18"/>
                <w:szCs w:val="18"/>
                <w:u w:val="none"/>
                <w:lang w:val="en-US" w:eastAsia="zh-CN" w:bidi="ar"/>
              </w:rPr>
              <w:t>时间安排</w:t>
            </w:r>
          </w:p>
        </w:tc>
        <w:tc>
          <w:tcPr>
            <w:tcW w:w="2478" w:type="dxa"/>
            <w:vAlign w:val="center"/>
          </w:tcPr>
          <w:p w14:paraId="366DEAF8">
            <w:pPr>
              <w:keepNext w:val="0"/>
              <w:keepLines w:val="0"/>
              <w:widowControl/>
              <w:suppressLineNumbers w:val="0"/>
              <w:jc w:val="center"/>
              <w:textAlignment w:val="center"/>
              <w:rPr>
                <w:rFonts w:hint="default" w:ascii="Times New Roman" w:hAnsi="Times New Roman" w:eastAsia="黑体" w:cs="Times New Roman"/>
                <w:b w:val="0"/>
                <w:bCs w:val="0"/>
                <w:spacing w:val="-6"/>
                <w:sz w:val="18"/>
                <w:szCs w:val="18"/>
                <w:highlight w:val="none"/>
                <w:lang w:val="en-US" w:eastAsia="zh-CN"/>
              </w:rPr>
            </w:pPr>
            <w:r>
              <w:rPr>
                <w:rFonts w:hint="default" w:ascii="Times New Roman" w:hAnsi="Times New Roman" w:eastAsia="黑体" w:cs="Times New Roman"/>
                <w:i w:val="0"/>
                <w:iCs w:val="0"/>
                <w:color w:val="000000"/>
                <w:kern w:val="0"/>
                <w:sz w:val="18"/>
                <w:szCs w:val="18"/>
                <w:u w:val="none"/>
                <w:lang w:val="en-US" w:eastAsia="zh-CN" w:bidi="ar"/>
              </w:rPr>
              <w:t>责任单位</w:t>
            </w:r>
          </w:p>
        </w:tc>
        <w:tc>
          <w:tcPr>
            <w:tcW w:w="2478" w:type="dxa"/>
            <w:vAlign w:val="center"/>
          </w:tcPr>
          <w:p w14:paraId="38FFC05C">
            <w:pPr>
              <w:keepNext w:val="0"/>
              <w:keepLines w:val="0"/>
              <w:widowControl/>
              <w:suppressLineNumbers w:val="0"/>
              <w:jc w:val="center"/>
              <w:textAlignment w:val="center"/>
              <w:rPr>
                <w:rFonts w:hint="default" w:ascii="Times New Roman" w:hAnsi="Times New Roman" w:eastAsia="黑体" w:cs="Times New Roman"/>
                <w:b w:val="0"/>
                <w:bCs w:val="0"/>
                <w:spacing w:val="-6"/>
                <w:sz w:val="18"/>
                <w:szCs w:val="18"/>
                <w:highlight w:val="none"/>
              </w:rPr>
            </w:pPr>
            <w:r>
              <w:rPr>
                <w:rFonts w:hint="default" w:ascii="Times New Roman" w:hAnsi="Times New Roman" w:eastAsia="黑体" w:cs="Times New Roman"/>
                <w:i w:val="0"/>
                <w:iCs w:val="0"/>
                <w:color w:val="000000"/>
                <w:kern w:val="0"/>
                <w:sz w:val="18"/>
                <w:szCs w:val="18"/>
                <w:u w:val="none"/>
                <w:lang w:val="en-US" w:eastAsia="zh-CN" w:bidi="ar"/>
              </w:rPr>
              <w:t>备注</w:t>
            </w:r>
          </w:p>
        </w:tc>
      </w:tr>
      <w:tr w14:paraId="1B2D76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717" w:type="dxa"/>
            <w:vMerge w:val="restart"/>
            <w:vAlign w:val="center"/>
          </w:tcPr>
          <w:p w14:paraId="2A5DB529">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b w:val="0"/>
                <w:bCs w:val="0"/>
                <w:spacing w:val="-6"/>
                <w:sz w:val="18"/>
                <w:szCs w:val="18"/>
                <w:highlight w:val="none"/>
                <w:lang w:val="en-US" w:eastAsia="zh-CN"/>
              </w:rPr>
              <w:t>1</w:t>
            </w:r>
          </w:p>
        </w:tc>
        <w:tc>
          <w:tcPr>
            <w:tcW w:w="2298" w:type="dxa"/>
            <w:vMerge w:val="restart"/>
            <w:vAlign w:val="center"/>
          </w:tcPr>
          <w:p w14:paraId="768801F4">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spacing w:val="-6"/>
                <w:sz w:val="18"/>
                <w:szCs w:val="18"/>
                <w:highlight w:val="none"/>
                <w:lang w:val="en-US"/>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“健雄杯”自然科学素养类竞赛</w:t>
            </w:r>
          </w:p>
        </w:tc>
        <w:tc>
          <w:tcPr>
            <w:tcW w:w="3839" w:type="dxa"/>
            <w:vAlign w:val="center"/>
          </w:tcPr>
          <w:p w14:paraId="7C45CA7E">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天文知识竞赛</w:t>
            </w:r>
          </w:p>
        </w:tc>
        <w:tc>
          <w:tcPr>
            <w:tcW w:w="1569" w:type="dxa"/>
            <w:vAlign w:val="center"/>
          </w:tcPr>
          <w:p w14:paraId="729E57F5">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每年10月</w:t>
            </w:r>
          </w:p>
        </w:tc>
        <w:tc>
          <w:tcPr>
            <w:tcW w:w="2478" w:type="dxa"/>
            <w:vAlign w:val="center"/>
          </w:tcPr>
          <w:p w14:paraId="6BFF75ED">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市教育局基教科</w:t>
            </w:r>
          </w:p>
        </w:tc>
        <w:tc>
          <w:tcPr>
            <w:tcW w:w="2478" w:type="dxa"/>
            <w:vAlign w:val="center"/>
          </w:tcPr>
          <w:p w14:paraId="009234DC">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面向中小学学生</w:t>
            </w:r>
          </w:p>
        </w:tc>
      </w:tr>
      <w:tr w14:paraId="3A914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17" w:type="dxa"/>
            <w:vMerge w:val="continue"/>
            <w:vAlign w:val="center"/>
          </w:tcPr>
          <w:p w14:paraId="020D0834">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spacing w:val="-6"/>
                <w:sz w:val="18"/>
                <w:szCs w:val="18"/>
                <w:highlight w:val="none"/>
                <w:lang w:val="en-US" w:eastAsia="zh-CN"/>
              </w:rPr>
            </w:pPr>
          </w:p>
        </w:tc>
        <w:tc>
          <w:tcPr>
            <w:tcW w:w="2298" w:type="dxa"/>
            <w:vMerge w:val="continue"/>
            <w:vAlign w:val="center"/>
          </w:tcPr>
          <w:p w14:paraId="5D0BA153">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p>
        </w:tc>
        <w:tc>
          <w:tcPr>
            <w:tcW w:w="3839" w:type="dxa"/>
            <w:vAlign w:val="center"/>
          </w:tcPr>
          <w:p w14:paraId="797FDBB2">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中学数学、物理、化学、生物、信息拔尖人才特色课程</w:t>
            </w:r>
          </w:p>
        </w:tc>
        <w:tc>
          <w:tcPr>
            <w:tcW w:w="1569" w:type="dxa"/>
            <w:vAlign w:val="center"/>
          </w:tcPr>
          <w:p w14:paraId="226E3FE7">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常态化开展</w:t>
            </w:r>
          </w:p>
        </w:tc>
        <w:tc>
          <w:tcPr>
            <w:tcW w:w="2478" w:type="dxa"/>
            <w:vAlign w:val="center"/>
          </w:tcPr>
          <w:p w14:paraId="57AD69A6">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市教师发展中心</w:t>
            </w:r>
          </w:p>
        </w:tc>
        <w:tc>
          <w:tcPr>
            <w:tcW w:w="2478" w:type="dxa"/>
            <w:vAlign w:val="center"/>
          </w:tcPr>
          <w:p w14:paraId="5DE9BE07">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分层教学，校本实施</w:t>
            </w:r>
          </w:p>
        </w:tc>
      </w:tr>
      <w:tr w14:paraId="58F27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717" w:type="dxa"/>
            <w:vMerge w:val="continue"/>
            <w:vAlign w:val="center"/>
          </w:tcPr>
          <w:p w14:paraId="6387045A">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spacing w:val="-6"/>
                <w:sz w:val="18"/>
                <w:szCs w:val="18"/>
                <w:highlight w:val="none"/>
                <w:lang w:val="en-US" w:eastAsia="zh-CN"/>
              </w:rPr>
            </w:pPr>
          </w:p>
        </w:tc>
        <w:tc>
          <w:tcPr>
            <w:tcW w:w="2298" w:type="dxa"/>
            <w:vMerge w:val="continue"/>
            <w:vAlign w:val="center"/>
          </w:tcPr>
          <w:p w14:paraId="3FD61A9F">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p>
        </w:tc>
        <w:tc>
          <w:tcPr>
            <w:tcW w:w="3839" w:type="dxa"/>
            <w:vAlign w:val="center"/>
          </w:tcPr>
          <w:p w14:paraId="48DEE167">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实验操作比赛</w:t>
            </w:r>
          </w:p>
        </w:tc>
        <w:tc>
          <w:tcPr>
            <w:tcW w:w="1569" w:type="dxa"/>
            <w:vAlign w:val="center"/>
          </w:tcPr>
          <w:p w14:paraId="62911B88">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每年5月</w:t>
            </w:r>
          </w:p>
        </w:tc>
        <w:tc>
          <w:tcPr>
            <w:tcW w:w="2478" w:type="dxa"/>
            <w:vAlign w:val="center"/>
          </w:tcPr>
          <w:p w14:paraId="23F68894">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市装备中心</w:t>
            </w:r>
          </w:p>
        </w:tc>
        <w:tc>
          <w:tcPr>
            <w:tcW w:w="2478" w:type="dxa"/>
            <w:vAlign w:val="center"/>
          </w:tcPr>
          <w:p w14:paraId="188E193E">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覆盖全市中小学</w:t>
            </w:r>
          </w:p>
        </w:tc>
      </w:tr>
      <w:tr w14:paraId="166E8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717" w:type="dxa"/>
            <w:vMerge w:val="continue"/>
            <w:vAlign w:val="center"/>
          </w:tcPr>
          <w:p w14:paraId="0D08C60A">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spacing w:val="-6"/>
                <w:sz w:val="18"/>
                <w:szCs w:val="18"/>
                <w:highlight w:val="none"/>
                <w:lang w:val="en-US" w:eastAsia="zh-CN"/>
              </w:rPr>
            </w:pPr>
          </w:p>
        </w:tc>
        <w:tc>
          <w:tcPr>
            <w:tcW w:w="2298" w:type="dxa"/>
            <w:vMerge w:val="continue"/>
            <w:vAlign w:val="center"/>
          </w:tcPr>
          <w:p w14:paraId="3D8DE73C">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p>
        </w:tc>
        <w:tc>
          <w:tcPr>
            <w:tcW w:w="3839" w:type="dxa"/>
            <w:vAlign w:val="center"/>
          </w:tcPr>
          <w:p w14:paraId="138A2645">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“健雄杯”科技节</w:t>
            </w:r>
          </w:p>
        </w:tc>
        <w:tc>
          <w:tcPr>
            <w:tcW w:w="1569" w:type="dxa"/>
            <w:vAlign w:val="center"/>
          </w:tcPr>
          <w:p w14:paraId="570C1727">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每年11月</w:t>
            </w:r>
          </w:p>
        </w:tc>
        <w:tc>
          <w:tcPr>
            <w:tcW w:w="2478" w:type="dxa"/>
            <w:vAlign w:val="center"/>
          </w:tcPr>
          <w:p w14:paraId="7C1F28E8">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青少年活动中心</w:t>
            </w:r>
          </w:p>
        </w:tc>
        <w:tc>
          <w:tcPr>
            <w:tcW w:w="2478" w:type="dxa"/>
            <w:vAlign w:val="center"/>
          </w:tcPr>
          <w:p w14:paraId="3907D8F2">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覆盖全市中小学</w:t>
            </w:r>
          </w:p>
        </w:tc>
      </w:tr>
      <w:tr w14:paraId="2345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717" w:type="dxa"/>
            <w:vAlign w:val="center"/>
          </w:tcPr>
          <w:p w14:paraId="53F987A6">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b w:val="0"/>
                <w:bCs w:val="0"/>
                <w:spacing w:val="-6"/>
                <w:sz w:val="18"/>
                <w:szCs w:val="18"/>
                <w:highlight w:val="none"/>
                <w:lang w:val="en-US" w:eastAsia="zh-CN"/>
              </w:rPr>
              <w:t>2</w:t>
            </w:r>
          </w:p>
        </w:tc>
        <w:tc>
          <w:tcPr>
            <w:tcW w:w="2298" w:type="dxa"/>
            <w:vAlign w:val="center"/>
          </w:tcPr>
          <w:p w14:paraId="3A3F35F3">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“健雄杯”人文综合素养类竞赛</w:t>
            </w:r>
          </w:p>
        </w:tc>
        <w:tc>
          <w:tcPr>
            <w:tcW w:w="3839" w:type="dxa"/>
            <w:vAlign w:val="center"/>
          </w:tcPr>
          <w:p w14:paraId="64B1F363">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全国版图知识竞赛</w:t>
            </w:r>
          </w:p>
        </w:tc>
        <w:tc>
          <w:tcPr>
            <w:tcW w:w="1569" w:type="dxa"/>
            <w:vAlign w:val="center"/>
          </w:tcPr>
          <w:p w14:paraId="064CC0D6">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每年3–4月</w:t>
            </w:r>
          </w:p>
        </w:tc>
        <w:tc>
          <w:tcPr>
            <w:tcW w:w="2478" w:type="dxa"/>
            <w:vAlign w:val="center"/>
          </w:tcPr>
          <w:p w14:paraId="47848833">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市教育局基础教育科</w:t>
            </w:r>
          </w:p>
        </w:tc>
        <w:tc>
          <w:tcPr>
            <w:tcW w:w="2478" w:type="dxa"/>
            <w:vAlign w:val="center"/>
          </w:tcPr>
          <w:p w14:paraId="52B03865">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结合地理课程</w:t>
            </w:r>
          </w:p>
        </w:tc>
      </w:tr>
      <w:tr w14:paraId="604CF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717" w:type="dxa"/>
            <w:vAlign w:val="center"/>
          </w:tcPr>
          <w:p w14:paraId="36455650">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b w:val="0"/>
                <w:bCs w:val="0"/>
                <w:spacing w:val="-6"/>
                <w:sz w:val="18"/>
                <w:szCs w:val="18"/>
                <w:highlight w:val="none"/>
                <w:lang w:val="en-US" w:eastAsia="zh-CN"/>
              </w:rPr>
              <w:t>3</w:t>
            </w:r>
          </w:p>
        </w:tc>
        <w:tc>
          <w:tcPr>
            <w:tcW w:w="2298" w:type="dxa"/>
            <w:vAlign w:val="center"/>
          </w:tcPr>
          <w:p w14:paraId="53C0C856">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“健雄领航”馆校合作</w:t>
            </w:r>
          </w:p>
        </w:tc>
        <w:tc>
          <w:tcPr>
            <w:tcW w:w="3839" w:type="dxa"/>
            <w:vAlign w:val="center"/>
          </w:tcPr>
          <w:p w14:paraId="4DA23F45">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探索与惊奇——行走的课堂</w:t>
            </w:r>
          </w:p>
        </w:tc>
        <w:tc>
          <w:tcPr>
            <w:tcW w:w="1569" w:type="dxa"/>
            <w:vAlign w:val="center"/>
          </w:tcPr>
          <w:p w14:paraId="43DC7F6D">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每学期1次</w:t>
            </w:r>
          </w:p>
        </w:tc>
        <w:tc>
          <w:tcPr>
            <w:tcW w:w="2478" w:type="dxa"/>
            <w:vAlign w:val="center"/>
          </w:tcPr>
          <w:p w14:paraId="484D27C1">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市科技馆</w:t>
            </w:r>
          </w:p>
        </w:tc>
        <w:tc>
          <w:tcPr>
            <w:tcW w:w="2478" w:type="dxa"/>
            <w:vAlign w:val="center"/>
          </w:tcPr>
          <w:p w14:paraId="06582838">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rPr>
            </w:pPr>
            <w:r>
              <w:rPr>
                <w:rFonts w:hint="default" w:ascii="Times New Roman" w:hAnsi="Times New Roman" w:eastAsia="仿宋_GB2312" w:cs="Times New Roman"/>
                <w:i w:val="0"/>
                <w:iCs w:val="0"/>
                <w:color w:val="000000"/>
                <w:kern w:val="0"/>
                <w:sz w:val="18"/>
                <w:szCs w:val="18"/>
                <w:u w:val="none"/>
                <w:lang w:val="en-US" w:eastAsia="zh-CN" w:bidi="ar"/>
              </w:rPr>
              <w:t>覆盖全市中小学</w:t>
            </w:r>
          </w:p>
        </w:tc>
      </w:tr>
      <w:tr w14:paraId="1E6968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17" w:type="dxa"/>
            <w:vAlign w:val="center"/>
          </w:tcPr>
          <w:p w14:paraId="2381DE23">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b w:val="0"/>
                <w:bCs w:val="0"/>
                <w:spacing w:val="-6"/>
                <w:sz w:val="18"/>
                <w:szCs w:val="18"/>
                <w:highlight w:val="none"/>
                <w:lang w:val="en-US" w:eastAsia="zh-CN"/>
              </w:rPr>
              <w:t>4</w:t>
            </w:r>
          </w:p>
        </w:tc>
        <w:tc>
          <w:tcPr>
            <w:tcW w:w="2298" w:type="dxa"/>
            <w:vAlign w:val="center"/>
          </w:tcPr>
          <w:p w14:paraId="329CCC28">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承健雄志・践科学行实践</w:t>
            </w:r>
          </w:p>
        </w:tc>
        <w:tc>
          <w:tcPr>
            <w:tcW w:w="3839" w:type="dxa"/>
            <w:vAlign w:val="center"/>
          </w:tcPr>
          <w:p w14:paraId="5D52FABA">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社会实践</w:t>
            </w:r>
          </w:p>
        </w:tc>
        <w:tc>
          <w:tcPr>
            <w:tcW w:w="1569" w:type="dxa"/>
            <w:vAlign w:val="center"/>
          </w:tcPr>
          <w:p w14:paraId="215D671C">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秋季（八年级）、春季（四年级）</w:t>
            </w:r>
          </w:p>
        </w:tc>
        <w:tc>
          <w:tcPr>
            <w:tcW w:w="2478" w:type="dxa"/>
            <w:vAlign w:val="center"/>
          </w:tcPr>
          <w:p w14:paraId="6724A623">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市教育局基教科</w:t>
            </w:r>
          </w:p>
        </w:tc>
        <w:tc>
          <w:tcPr>
            <w:tcW w:w="2478" w:type="dxa"/>
            <w:vAlign w:val="center"/>
          </w:tcPr>
          <w:p w14:paraId="54446C63">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时思社会实践基地实施</w:t>
            </w:r>
          </w:p>
        </w:tc>
      </w:tr>
      <w:tr w14:paraId="0B42A2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17" w:type="dxa"/>
            <w:vAlign w:val="center"/>
          </w:tcPr>
          <w:p w14:paraId="5559E8C4">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b w:val="0"/>
                <w:bCs w:val="0"/>
                <w:spacing w:val="-6"/>
                <w:sz w:val="18"/>
                <w:szCs w:val="18"/>
                <w:highlight w:val="none"/>
                <w:lang w:val="en-US" w:eastAsia="zh-CN"/>
              </w:rPr>
              <w:t>5</w:t>
            </w:r>
          </w:p>
        </w:tc>
        <w:tc>
          <w:tcPr>
            <w:tcW w:w="2298" w:type="dxa"/>
            <w:vAlign w:val="center"/>
          </w:tcPr>
          <w:p w14:paraId="3B788335">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弘扬健雄精神 培育时代新人</w:t>
            </w:r>
          </w:p>
          <w:p w14:paraId="0DE7A965">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科学教育能力提升计划</w:t>
            </w:r>
          </w:p>
        </w:tc>
        <w:tc>
          <w:tcPr>
            <w:tcW w:w="3839" w:type="dxa"/>
            <w:vAlign w:val="center"/>
          </w:tcPr>
          <w:p w14:paraId="088A628F">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教师培训</w:t>
            </w:r>
          </w:p>
        </w:tc>
        <w:tc>
          <w:tcPr>
            <w:tcW w:w="1569" w:type="dxa"/>
            <w:vAlign w:val="center"/>
          </w:tcPr>
          <w:p w14:paraId="39996C51">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常态化开展</w:t>
            </w:r>
          </w:p>
        </w:tc>
        <w:tc>
          <w:tcPr>
            <w:tcW w:w="2478" w:type="dxa"/>
            <w:vAlign w:val="center"/>
          </w:tcPr>
          <w:p w14:paraId="6DCFD971">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青少年活动中心</w:t>
            </w:r>
          </w:p>
        </w:tc>
        <w:tc>
          <w:tcPr>
            <w:tcW w:w="2478" w:type="dxa"/>
            <w:vAlign w:val="center"/>
          </w:tcPr>
          <w:p w14:paraId="5489A91A">
            <w:pPr>
              <w:keepNext w:val="0"/>
              <w:keepLines w:val="0"/>
              <w:widowControl/>
              <w:suppressLineNumbers w:val="0"/>
              <w:jc w:val="center"/>
              <w:textAlignment w:val="center"/>
              <w:rPr>
                <w:rFonts w:hint="default" w:ascii="Times New Roman" w:hAnsi="Times New Roman" w:eastAsia="仿宋_GB2312" w:cs="Times New Roman"/>
                <w:b w:val="0"/>
                <w:bCs w:val="0"/>
                <w:color w:val="auto"/>
                <w:kern w:val="2"/>
                <w:sz w:val="18"/>
                <w:szCs w:val="18"/>
                <w:highlight w:val="none"/>
                <w:lang w:val="en-US" w:eastAsia="zh-CN" w:bidi="ar-SA"/>
              </w:rPr>
            </w:pPr>
            <w:r>
              <w:rPr>
                <w:rFonts w:hint="default" w:ascii="Times New Roman" w:hAnsi="Times New Roman" w:eastAsia="仿宋_GB2312" w:cs="Times New Roman"/>
                <w:i w:val="0"/>
                <w:iCs w:val="0"/>
                <w:color w:val="000000"/>
                <w:kern w:val="0"/>
                <w:sz w:val="18"/>
                <w:szCs w:val="18"/>
                <w:u w:val="none"/>
                <w:lang w:val="en-US" w:eastAsia="zh-CN" w:bidi="ar"/>
              </w:rPr>
              <w:t>含市级培训、校本研修</w:t>
            </w:r>
          </w:p>
        </w:tc>
      </w:tr>
      <w:tr w14:paraId="5A4DF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17" w:type="dxa"/>
            <w:vAlign w:val="center"/>
          </w:tcPr>
          <w:p w14:paraId="115A78F3">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b w:val="0"/>
                <w:bCs w:val="0"/>
                <w:spacing w:val="-6"/>
                <w:sz w:val="18"/>
                <w:szCs w:val="18"/>
                <w:highlight w:val="none"/>
                <w:lang w:val="en-US" w:eastAsia="zh-CN"/>
              </w:rPr>
              <w:t>6</w:t>
            </w:r>
          </w:p>
        </w:tc>
        <w:tc>
          <w:tcPr>
            <w:tcW w:w="2298" w:type="dxa"/>
            <w:vAlign w:val="center"/>
          </w:tcPr>
          <w:p w14:paraId="738300A7">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健雄科学教育专家引领计划</w:t>
            </w:r>
          </w:p>
        </w:tc>
        <w:tc>
          <w:tcPr>
            <w:tcW w:w="3839" w:type="dxa"/>
            <w:vAlign w:val="center"/>
          </w:tcPr>
          <w:p w14:paraId="551987A5">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专家指导</w:t>
            </w:r>
          </w:p>
        </w:tc>
        <w:tc>
          <w:tcPr>
            <w:tcW w:w="1569" w:type="dxa"/>
            <w:vAlign w:val="center"/>
          </w:tcPr>
          <w:p w14:paraId="46D3C2B0">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常态化开展</w:t>
            </w:r>
          </w:p>
        </w:tc>
        <w:tc>
          <w:tcPr>
            <w:tcW w:w="2478" w:type="dxa"/>
            <w:vAlign w:val="center"/>
          </w:tcPr>
          <w:p w14:paraId="02050BE3">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青少年活动中心</w:t>
            </w:r>
          </w:p>
        </w:tc>
        <w:tc>
          <w:tcPr>
            <w:tcW w:w="2478" w:type="dxa"/>
            <w:vAlign w:val="center"/>
          </w:tcPr>
          <w:p w14:paraId="4BA69742">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rPr>
            </w:pPr>
            <w:r>
              <w:rPr>
                <w:rFonts w:hint="default" w:ascii="Times New Roman" w:hAnsi="Times New Roman" w:eastAsia="仿宋_GB2312" w:cs="Times New Roman"/>
                <w:i w:val="0"/>
                <w:iCs w:val="0"/>
                <w:color w:val="000000"/>
                <w:kern w:val="0"/>
                <w:sz w:val="18"/>
                <w:szCs w:val="18"/>
                <w:u w:val="none"/>
                <w:lang w:val="en-US" w:eastAsia="zh-CN" w:bidi="ar"/>
              </w:rPr>
              <w:t>高校、科研院所专家参与</w:t>
            </w:r>
          </w:p>
        </w:tc>
      </w:tr>
      <w:tr w14:paraId="735EE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17" w:type="dxa"/>
            <w:vAlign w:val="center"/>
          </w:tcPr>
          <w:p w14:paraId="5C8EDE23">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b w:val="0"/>
                <w:bCs w:val="0"/>
                <w:spacing w:val="-6"/>
                <w:sz w:val="18"/>
                <w:szCs w:val="18"/>
                <w:highlight w:val="none"/>
                <w:lang w:val="en-US" w:eastAsia="zh-CN"/>
              </w:rPr>
              <w:t>7</w:t>
            </w:r>
          </w:p>
        </w:tc>
        <w:tc>
          <w:tcPr>
            <w:tcW w:w="6137" w:type="dxa"/>
            <w:gridSpan w:val="2"/>
            <w:vAlign w:val="center"/>
          </w:tcPr>
          <w:p w14:paraId="122AC279">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中小学科学副校长全覆盖</w:t>
            </w:r>
          </w:p>
        </w:tc>
        <w:tc>
          <w:tcPr>
            <w:tcW w:w="1569" w:type="dxa"/>
            <w:vAlign w:val="center"/>
          </w:tcPr>
          <w:p w14:paraId="53DDBF57">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2025年12月底前</w:t>
            </w:r>
          </w:p>
        </w:tc>
        <w:tc>
          <w:tcPr>
            <w:tcW w:w="2478" w:type="dxa"/>
            <w:vAlign w:val="center"/>
          </w:tcPr>
          <w:p w14:paraId="0DD93AB5">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各中小学</w:t>
            </w:r>
          </w:p>
        </w:tc>
        <w:tc>
          <w:tcPr>
            <w:tcW w:w="2478" w:type="dxa"/>
            <w:vAlign w:val="center"/>
          </w:tcPr>
          <w:p w14:paraId="03619A23">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rPr>
            </w:pPr>
            <w:r>
              <w:rPr>
                <w:rFonts w:hint="default" w:ascii="Times New Roman" w:hAnsi="Times New Roman" w:eastAsia="仿宋_GB2312" w:cs="Times New Roman"/>
                <w:i w:val="0"/>
                <w:iCs w:val="0"/>
                <w:color w:val="000000"/>
                <w:kern w:val="0"/>
                <w:sz w:val="18"/>
                <w:szCs w:val="18"/>
                <w:u w:val="none"/>
                <w:lang w:val="en-US" w:eastAsia="zh-CN" w:bidi="ar"/>
              </w:rPr>
              <w:t>需报送聘任名单</w:t>
            </w:r>
          </w:p>
        </w:tc>
      </w:tr>
      <w:tr w14:paraId="2BF46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17" w:type="dxa"/>
            <w:vAlign w:val="center"/>
          </w:tcPr>
          <w:p w14:paraId="488A1275">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b w:val="0"/>
                <w:bCs w:val="0"/>
                <w:spacing w:val="-6"/>
                <w:sz w:val="18"/>
                <w:szCs w:val="18"/>
                <w:highlight w:val="none"/>
                <w:lang w:val="en-US" w:eastAsia="zh-CN"/>
              </w:rPr>
              <w:t>8</w:t>
            </w:r>
          </w:p>
        </w:tc>
        <w:tc>
          <w:tcPr>
            <w:tcW w:w="6137" w:type="dxa"/>
            <w:gridSpan w:val="2"/>
            <w:vAlign w:val="center"/>
          </w:tcPr>
          <w:p w14:paraId="25304FE7">
            <w:pPr>
              <w:keepNext w:val="0"/>
              <w:keepLines w:val="0"/>
              <w:pageBreakBefore w:val="0"/>
              <w:widowControl w:val="0"/>
              <w:kinsoku/>
              <w:wordWrap/>
              <w:overflowPunct/>
              <w:topLinePunct w:val="0"/>
              <w:autoSpaceDE/>
              <w:autoSpaceDN/>
              <w:bidi w:val="0"/>
              <w:adjustRightInd/>
              <w:snapToGrid/>
              <w:spacing w:line="260" w:lineRule="exact"/>
              <w:ind w:firstLine="0"/>
              <w:jc w:val="center"/>
              <w:textAlignment w:val="auto"/>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pPr>
            <w:r>
              <w:rPr>
                <w:rFonts w:hint="default" w:ascii="Times New Roman" w:hAnsi="Times New Roman" w:eastAsia="仿宋_GB2312" w:cs="Times New Roman"/>
                <w:b w:val="0"/>
                <w:bCs w:val="0"/>
                <w:i w:val="0"/>
                <w:iCs w:val="0"/>
                <w:caps w:val="0"/>
                <w:color w:val="auto"/>
                <w:spacing w:val="0"/>
                <w:kern w:val="0"/>
                <w:sz w:val="18"/>
                <w:szCs w:val="18"/>
                <w:highlight w:val="none"/>
                <w:shd w:val="clear" w:color="auto" w:fill="auto"/>
                <w:lang w:val="en-US" w:eastAsia="zh-CN" w:bidi="ar"/>
              </w:rPr>
              <w:t>编制“健雄科普教育基地目录”</w:t>
            </w:r>
          </w:p>
        </w:tc>
        <w:tc>
          <w:tcPr>
            <w:tcW w:w="1569" w:type="dxa"/>
            <w:vAlign w:val="center"/>
          </w:tcPr>
          <w:p w14:paraId="7480C212">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2025年12月底前</w:t>
            </w:r>
          </w:p>
        </w:tc>
        <w:tc>
          <w:tcPr>
            <w:tcW w:w="2478" w:type="dxa"/>
            <w:vAlign w:val="center"/>
          </w:tcPr>
          <w:p w14:paraId="38AE0172">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lang w:val="en-US" w:eastAsia="zh-CN"/>
              </w:rPr>
            </w:pPr>
            <w:r>
              <w:rPr>
                <w:rFonts w:hint="default" w:ascii="Times New Roman" w:hAnsi="Times New Roman" w:eastAsia="仿宋_GB2312" w:cs="Times New Roman"/>
                <w:i w:val="0"/>
                <w:iCs w:val="0"/>
                <w:color w:val="000000"/>
                <w:kern w:val="0"/>
                <w:sz w:val="18"/>
                <w:szCs w:val="18"/>
                <w:u w:val="none"/>
                <w:lang w:val="en-US" w:eastAsia="zh-CN" w:bidi="ar"/>
              </w:rPr>
              <w:t>市教育局、市科协</w:t>
            </w:r>
          </w:p>
        </w:tc>
        <w:tc>
          <w:tcPr>
            <w:tcW w:w="2478" w:type="dxa"/>
            <w:vAlign w:val="center"/>
          </w:tcPr>
          <w:p w14:paraId="1B7720DD">
            <w:pPr>
              <w:keepNext w:val="0"/>
              <w:keepLines w:val="0"/>
              <w:widowControl/>
              <w:suppressLineNumbers w:val="0"/>
              <w:jc w:val="center"/>
              <w:textAlignment w:val="center"/>
              <w:rPr>
                <w:rFonts w:hint="default" w:ascii="Times New Roman" w:hAnsi="Times New Roman" w:eastAsia="仿宋_GB2312" w:cs="Times New Roman"/>
                <w:b w:val="0"/>
                <w:bCs w:val="0"/>
                <w:spacing w:val="-6"/>
                <w:sz w:val="18"/>
                <w:szCs w:val="18"/>
                <w:highlight w:val="none"/>
              </w:rPr>
            </w:pPr>
            <w:r>
              <w:rPr>
                <w:rFonts w:hint="default" w:ascii="Times New Roman" w:hAnsi="Times New Roman" w:eastAsia="仿宋_GB2312" w:cs="Times New Roman"/>
                <w:i w:val="0"/>
                <w:iCs w:val="0"/>
                <w:color w:val="000000"/>
                <w:kern w:val="0"/>
                <w:sz w:val="18"/>
                <w:szCs w:val="18"/>
                <w:u w:val="none"/>
                <w:lang w:val="en-US" w:eastAsia="zh-CN" w:bidi="ar"/>
              </w:rPr>
              <w:t>含开放时间、预约方式</w:t>
            </w:r>
          </w:p>
        </w:tc>
      </w:tr>
    </w:tbl>
    <w:p w14:paraId="53CCDC25">
      <w:pPr>
        <w:keepNext w:val="0"/>
        <w:keepLines w:val="0"/>
        <w:pageBreakBefore w:val="0"/>
        <w:widowControl w:val="0"/>
        <w:kinsoku/>
        <w:wordWrap/>
        <w:overflowPunct/>
        <w:topLinePunct w:val="0"/>
        <w:autoSpaceDE/>
        <w:autoSpaceDN/>
        <w:bidi w:val="0"/>
        <w:adjustRightInd/>
        <w:snapToGrid/>
        <w:spacing w:line="20" w:lineRule="exact"/>
        <w:textAlignment w:val="auto"/>
        <w:rPr>
          <w:rFonts w:hint="default" w:ascii="Times New Roman" w:hAnsi="Times New Roman" w:cs="Times New Roman" w:eastAsiaTheme="minorEastAsia"/>
          <w:b w:val="0"/>
          <w:bCs w:val="0"/>
          <w:i w:val="0"/>
          <w:iCs w:val="0"/>
          <w:caps w:val="0"/>
          <w:color w:val="000000" w:themeColor="text1"/>
          <w:spacing w:val="0"/>
          <w:kern w:val="0"/>
          <w:sz w:val="21"/>
          <w:szCs w:val="21"/>
          <w:highlight w:val="none"/>
          <w:shd w:val="clear" w:color="auto" w:fill="auto"/>
          <w:lang w:val="en-US" w:eastAsia="zh-CN" w:bidi="ar"/>
          <w14:textFill>
            <w14:solidFill>
              <w14:schemeClr w14:val="tx1"/>
            </w14:solidFill>
          </w14:textFill>
        </w:rPr>
      </w:pPr>
    </w:p>
    <w:sectPr>
      <w:pgSz w:w="16838" w:h="11906" w:orient="landscape"/>
      <w:pgMar w:top="1474" w:right="2041" w:bottom="1474" w:left="192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embedRegular r:id="rId1" w:fontKey="{AA850D0E-AB4A-4A52-BD10-9C9A29881FA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FangSong_GB2312">
    <w:altName w:val="仿宋_GB2312"/>
    <w:panose1 w:val="00000000000000000000"/>
    <w:charset w:val="00"/>
    <w:family w:val="auto"/>
    <w:pitch w:val="default"/>
    <w:sig w:usb0="00000000" w:usb1="00000000" w:usb2="00000000"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embedRegular r:id="rId2" w:fontKey="{C46D22D4-FD2C-484B-9924-7CC7A173FC30}"/>
  </w:font>
  <w:font w:name="仿宋">
    <w:panose1 w:val="02010609060101010101"/>
    <w:charset w:val="86"/>
    <w:family w:val="auto"/>
    <w:pitch w:val="default"/>
    <w:sig w:usb0="800002BF" w:usb1="38CF7CFA" w:usb2="00000016" w:usb3="00000000" w:csb0="00040001" w:csb1="00000000"/>
    <w:embedRegular r:id="rId3" w:fontKey="{DF3379D8-6C9E-4B46-A2AA-D5C3725045A4}"/>
  </w:font>
  <w:font w:name="楷体_GB2312">
    <w:panose1 w:val="02010609030101010101"/>
    <w:charset w:val="86"/>
    <w:family w:val="auto"/>
    <w:pitch w:val="default"/>
    <w:sig w:usb0="00000001" w:usb1="080E0000" w:usb2="00000000" w:usb3="00000000" w:csb0="00040000" w:csb1="00000000"/>
    <w:embedRegular r:id="rId4" w:fontKey="{92D6D98E-1001-4C28-9BA9-FDCDB8AA0FCC}"/>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AC77F2">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8A487A">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638A487A">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8022A6"/>
    <w:rsid w:val="00174A6C"/>
    <w:rsid w:val="00724552"/>
    <w:rsid w:val="01322380"/>
    <w:rsid w:val="01A81E98"/>
    <w:rsid w:val="03632E30"/>
    <w:rsid w:val="0519408A"/>
    <w:rsid w:val="05652AA0"/>
    <w:rsid w:val="071010C3"/>
    <w:rsid w:val="079610C8"/>
    <w:rsid w:val="07DE3F54"/>
    <w:rsid w:val="0ABE41AE"/>
    <w:rsid w:val="0C915D60"/>
    <w:rsid w:val="0E45624A"/>
    <w:rsid w:val="0EFC1538"/>
    <w:rsid w:val="11553800"/>
    <w:rsid w:val="11661ECE"/>
    <w:rsid w:val="11962D85"/>
    <w:rsid w:val="145558C5"/>
    <w:rsid w:val="14EC25CE"/>
    <w:rsid w:val="176F3141"/>
    <w:rsid w:val="17C5382C"/>
    <w:rsid w:val="19A54BF8"/>
    <w:rsid w:val="1E832848"/>
    <w:rsid w:val="1EE00481"/>
    <w:rsid w:val="20803CC9"/>
    <w:rsid w:val="244B0A92"/>
    <w:rsid w:val="27174E98"/>
    <w:rsid w:val="289F39AF"/>
    <w:rsid w:val="2CA70830"/>
    <w:rsid w:val="2DEA131C"/>
    <w:rsid w:val="2F740E9D"/>
    <w:rsid w:val="2FFC6134"/>
    <w:rsid w:val="30C310B4"/>
    <w:rsid w:val="318022A6"/>
    <w:rsid w:val="33D72BCA"/>
    <w:rsid w:val="341D0BF1"/>
    <w:rsid w:val="35487054"/>
    <w:rsid w:val="35610116"/>
    <w:rsid w:val="370816E5"/>
    <w:rsid w:val="37A61E10"/>
    <w:rsid w:val="396315A3"/>
    <w:rsid w:val="39933C03"/>
    <w:rsid w:val="3D8C7CFA"/>
    <w:rsid w:val="3DE90CA8"/>
    <w:rsid w:val="3DEB2C72"/>
    <w:rsid w:val="408C032E"/>
    <w:rsid w:val="40D00D9F"/>
    <w:rsid w:val="4145265A"/>
    <w:rsid w:val="43E803CE"/>
    <w:rsid w:val="44371CA4"/>
    <w:rsid w:val="44595043"/>
    <w:rsid w:val="456551B1"/>
    <w:rsid w:val="475A5F5D"/>
    <w:rsid w:val="47C332F7"/>
    <w:rsid w:val="48831CF9"/>
    <w:rsid w:val="49367819"/>
    <w:rsid w:val="494D5F27"/>
    <w:rsid w:val="4A6C0C97"/>
    <w:rsid w:val="4DC82688"/>
    <w:rsid w:val="4DFD31BA"/>
    <w:rsid w:val="4F6F00FB"/>
    <w:rsid w:val="512F2A1E"/>
    <w:rsid w:val="514F6BC2"/>
    <w:rsid w:val="52DC5F83"/>
    <w:rsid w:val="534A7CEC"/>
    <w:rsid w:val="54020DAE"/>
    <w:rsid w:val="559346FC"/>
    <w:rsid w:val="55BB7395"/>
    <w:rsid w:val="574F5132"/>
    <w:rsid w:val="58015FB0"/>
    <w:rsid w:val="58DF4D2A"/>
    <w:rsid w:val="598F49A2"/>
    <w:rsid w:val="5ADD72A9"/>
    <w:rsid w:val="5B2D6220"/>
    <w:rsid w:val="5CC63829"/>
    <w:rsid w:val="5CE92275"/>
    <w:rsid w:val="5D52328E"/>
    <w:rsid w:val="5D762392"/>
    <w:rsid w:val="5D857F0E"/>
    <w:rsid w:val="5DA16A52"/>
    <w:rsid w:val="6001155E"/>
    <w:rsid w:val="61AF1761"/>
    <w:rsid w:val="624A3B7A"/>
    <w:rsid w:val="62711F84"/>
    <w:rsid w:val="6317611A"/>
    <w:rsid w:val="632F68AE"/>
    <w:rsid w:val="65606904"/>
    <w:rsid w:val="65706CBF"/>
    <w:rsid w:val="65FE7137"/>
    <w:rsid w:val="66F709FC"/>
    <w:rsid w:val="69835F30"/>
    <w:rsid w:val="699D7DF5"/>
    <w:rsid w:val="6B862CD8"/>
    <w:rsid w:val="6C976F8A"/>
    <w:rsid w:val="6CC42DCA"/>
    <w:rsid w:val="6F117FC7"/>
    <w:rsid w:val="6FF9096F"/>
    <w:rsid w:val="6FFB0243"/>
    <w:rsid w:val="700E0E13"/>
    <w:rsid w:val="71491244"/>
    <w:rsid w:val="751F2D2D"/>
    <w:rsid w:val="779F47E5"/>
    <w:rsid w:val="781C0C94"/>
    <w:rsid w:val="78210A63"/>
    <w:rsid w:val="791A6A1E"/>
    <w:rsid w:val="7A671698"/>
    <w:rsid w:val="7AF93230"/>
    <w:rsid w:val="7C9A23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qFormat="1"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basedOn w:val="1"/>
    <w:next w:val="1"/>
    <w:qFormat/>
    <w:uiPriority w:val="0"/>
    <w:pPr>
      <w:spacing w:before="260" w:after="120" w:line="288" w:lineRule="auto"/>
      <w:ind w:left="0"/>
      <w:jc w:val="left"/>
      <w:outlineLvl w:val="3"/>
    </w:pPr>
    <w:rPr>
      <w:rFonts w:ascii="Arial" w:hAnsi="Arial" w:eastAsia="等线" w:cs="Arial"/>
      <w:b/>
      <w:bCs/>
      <w:sz w:val="28"/>
      <w:szCs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Note Heading"/>
    <w:basedOn w:val="1"/>
    <w:next w:val="1"/>
    <w:unhideWhenUsed/>
    <w:qFormat/>
    <w:uiPriority w:val="0"/>
    <w:pPr>
      <w:spacing w:beforeLines="0" w:afterLines="0"/>
      <w:jc w:val="center"/>
    </w:pPr>
    <w:rPr>
      <w:rFonts w:hint="default"/>
      <w:sz w:val="21"/>
      <w:szCs w:val="24"/>
    </w:rPr>
  </w:style>
  <w:style w:type="paragraph" w:styleId="6">
    <w:name w:val="annotation text"/>
    <w:basedOn w:val="1"/>
    <w:qFormat/>
    <w:uiPriority w:val="0"/>
    <w:pPr>
      <w:jc w:val="left"/>
    </w:pPr>
  </w:style>
  <w:style w:type="paragraph" w:styleId="7">
    <w:name w:val="Body Text"/>
    <w:basedOn w:val="1"/>
    <w:semiHidden/>
    <w:qFormat/>
    <w:uiPriority w:val="0"/>
    <w:rPr>
      <w:rFonts w:ascii="FangSong_GB2312" w:hAnsi="FangSong_GB2312" w:eastAsia="FangSong_GB2312" w:cs="FangSong_GB2312"/>
      <w:sz w:val="31"/>
      <w:szCs w:val="31"/>
      <w:lang w:val="en-US" w:eastAsia="en-US" w:bidi="ar-SA"/>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2">
    <w:name w:val="Table Grid"/>
    <w:basedOn w:val="11"/>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paragraph" w:customStyle="1" w:styleId="16">
    <w:name w:val="主题词"/>
    <w:basedOn w:val="1"/>
    <w:qFormat/>
    <w:uiPriority w:val="0"/>
    <w:pPr>
      <w:autoSpaceDE w:val="0"/>
      <w:autoSpaceDN w:val="0"/>
      <w:adjustRightInd w:val="0"/>
      <w:spacing w:line="240" w:lineRule="atLeast"/>
      <w:jc w:val="left"/>
    </w:pPr>
    <w:rPr>
      <w:rFonts w:ascii="宋体"/>
      <w:b/>
      <w:snapToGrid w:val="0"/>
      <w:kern w:val="0"/>
      <w:sz w:val="32"/>
      <w:szCs w:val="20"/>
    </w:rPr>
  </w:style>
  <w:style w:type="paragraph" w:customStyle="1" w:styleId="17">
    <w:name w:val="_Style 13"/>
    <w:qFormat/>
    <w:uiPriority w:val="0"/>
    <w:pPr>
      <w:spacing w:before="120" w:after="120" w:line="288" w:lineRule="auto"/>
      <w:ind w:left="0"/>
      <w:jc w:val="left"/>
    </w:pPr>
    <w:rPr>
      <w:rFonts w:ascii="Arial" w:hAnsi="Arial" w:eastAsia="等线" w:cs="Arial"/>
      <w:sz w:val="22"/>
      <w:szCs w:val="22"/>
    </w:rPr>
  </w:style>
  <w:style w:type="character" w:customStyle="1" w:styleId="18">
    <w:name w:val="font41"/>
    <w:basedOn w:val="13"/>
    <w:qFormat/>
    <w:uiPriority w:val="0"/>
    <w:rPr>
      <w:rFonts w:hint="default" w:ascii="Times New Roman" w:hAnsi="Times New Roman" w:cs="Times New Roman"/>
      <w:color w:val="000000"/>
      <w:sz w:val="20"/>
      <w:szCs w:val="20"/>
      <w:u w:val="none"/>
    </w:rPr>
  </w:style>
  <w:style w:type="character" w:customStyle="1" w:styleId="19">
    <w:name w:val="font21"/>
    <w:basedOn w:val="1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4059</Words>
  <Characters>4106</Characters>
  <Lines>0</Lines>
  <Paragraphs>0</Paragraphs>
  <TotalTime>1</TotalTime>
  <ScaleCrop>false</ScaleCrop>
  <LinksUpToDate>false</LinksUpToDate>
  <CharactersWithSpaces>4115</CharactersWithSpaces>
  <Application>WPS Office_12.8.2.17149_F1E327BC-269C-435d-A152-05C5408002CA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2025-04-22T07:11:00Z</dcterms:created>
  <dc:creator>harveyX</dc:creator>
  <cp:lastModifiedBy>Administrator</cp:lastModifiedBy>
  <cp:lastPrinted>2025-09-22T07:54:00Z</cp:lastPrinted>
  <dcterms:modified xsi:type="dcterms:W3CDTF">2025-09-26T02:24:13Z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2052-12.8.2.17149</vt:lpwstr>
  </property>
  <property fmtid="{D5CDD505-2E9C-101B-9397-08002B2CF9AE}" pid="3" name="ICV">
    <vt:lpwstr>EDE52A3248904E678375D28D57CDFF00_13</vt:lpwstr>
  </property>
  <property fmtid="{D5CDD505-2E9C-101B-9397-08002B2CF9AE}" pid="4" name="KSOTemplateDocerSaveRecord">
    <vt:lpwstr>eyJoZGlkIjoiZDQ1ZWVmOThmZTJlZDFhZWUyYzBkOWQyNTRjYTMyZTEiLCJ1c2VySWQiOiIyNjQyMjc0MDQifQ==</vt:lpwstr>
  </property>
</Properties>
</file>