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E32273">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eastAsia="方正小标宋简体"/>
          <w:sz w:val="44"/>
          <w:szCs w:val="44"/>
          <w:highlight w:val="none"/>
        </w:rPr>
      </w:pPr>
      <w:r>
        <w:rPr>
          <w:rFonts w:hint="default" w:eastAsia="方正小标宋简体"/>
          <w:sz w:val="44"/>
          <w:szCs w:val="44"/>
          <w:highlight w:val="none"/>
        </w:rPr>
        <w:t>关</w:t>
      </w:r>
      <w:r>
        <w:rPr>
          <w:rFonts w:eastAsia="方正小标宋简体"/>
          <w:sz w:val="44"/>
          <w:szCs w:val="44"/>
          <w:highlight w:val="none"/>
        </w:rPr>
        <w:t>于印发《</w:t>
      </w:r>
      <w:r>
        <w:rPr>
          <w:rFonts w:hint="eastAsia" w:eastAsia="方正小标宋简体"/>
          <w:sz w:val="44"/>
          <w:szCs w:val="44"/>
          <w:highlight w:val="none"/>
        </w:rPr>
        <w:t>太仓市初中学校“强校计划”</w:t>
      </w:r>
    </w:p>
    <w:p w14:paraId="760E13C2">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eastAsia="方正小标宋简体"/>
          <w:sz w:val="44"/>
          <w:szCs w:val="44"/>
          <w:highlight w:val="none"/>
        </w:rPr>
      </w:pPr>
      <w:r>
        <w:rPr>
          <w:rFonts w:hint="eastAsia" w:eastAsia="方正小标宋简体"/>
          <w:sz w:val="44"/>
          <w:szCs w:val="44"/>
          <w:highlight w:val="none"/>
          <w:lang w:val="en-US" w:eastAsia="zh-CN"/>
        </w:rPr>
        <w:t>二期提升行动方案（2025—2027年）</w:t>
      </w:r>
      <w:r>
        <w:rPr>
          <w:rFonts w:eastAsia="方正小标宋简体"/>
          <w:sz w:val="44"/>
          <w:szCs w:val="44"/>
          <w:highlight w:val="none"/>
        </w:rPr>
        <w:t>》的通知</w:t>
      </w:r>
    </w:p>
    <w:p w14:paraId="0B010EC8">
      <w:pPr>
        <w:keepNext w:val="0"/>
        <w:keepLines w:val="0"/>
        <w:pageBreakBefore w:val="0"/>
        <w:widowControl w:val="0"/>
        <w:kinsoku/>
        <w:wordWrap/>
        <w:topLinePunct w:val="0"/>
        <w:bidi w:val="0"/>
        <w:jc w:val="center"/>
        <w:textAlignment w:val="auto"/>
        <w:rPr>
          <w:rFonts w:hint="default" w:ascii="Times New Roman" w:hAnsi="Times New Roman" w:eastAsia="仿宋_GB2312" w:cs="Times New Roman"/>
          <w:sz w:val="32"/>
        </w:rPr>
      </w:pPr>
    </w:p>
    <w:p w14:paraId="7DC08BAD">
      <w:pPr>
        <w:keepNext w:val="0"/>
        <w:keepLines w:val="0"/>
        <w:pageBreakBefore w:val="0"/>
        <w:widowControl w:val="0"/>
        <w:kinsoku/>
        <w:wordWrap/>
        <w:topLinePunct w:val="0"/>
        <w:bidi w:val="0"/>
        <w:jc w:val="center"/>
        <w:textAlignment w:val="auto"/>
        <w:rPr>
          <w:rFonts w:hint="default" w:ascii="Times New Roman" w:hAnsi="Times New Roman" w:eastAsia="仿宋_GB2312" w:cs="Times New Roman"/>
          <w:sz w:val="32"/>
        </w:rPr>
      </w:pPr>
      <w:r>
        <w:rPr>
          <w:rFonts w:hint="default" w:ascii="Times New Roman" w:hAnsi="Times New Roman" w:eastAsia="仿宋_GB2312" w:cs="Times New Roman"/>
          <w:sz w:val="32"/>
        </w:rPr>
        <w:t>太教〔202</w:t>
      </w:r>
      <w:r>
        <w:rPr>
          <w:rFonts w:hint="default" w:ascii="Times New Roman" w:hAnsi="Times New Roman" w:eastAsia="仿宋_GB2312" w:cs="Times New Roman"/>
          <w:color w:val="auto"/>
          <w:sz w:val="32"/>
          <w:lang w:val="en-US" w:eastAsia="zh-CN"/>
        </w:rPr>
        <w:t>5</w:t>
      </w:r>
      <w:r>
        <w:rPr>
          <w:rFonts w:hint="default" w:ascii="Times New Roman" w:hAnsi="Times New Roman" w:eastAsia="仿宋_GB2312" w:cs="Times New Roman"/>
          <w:sz w:val="32"/>
        </w:rPr>
        <w:t>〕</w:t>
      </w:r>
      <w:r>
        <w:rPr>
          <w:rFonts w:hint="default" w:ascii="Times New Roman" w:hAnsi="Times New Roman" w:eastAsia="仿宋_GB2312" w:cs="Times New Roman"/>
          <w:color w:val="auto"/>
          <w:sz w:val="32"/>
          <w:lang w:val="en-US" w:eastAsia="zh-CN"/>
        </w:rPr>
        <w:t>2</w:t>
      </w:r>
      <w:r>
        <w:rPr>
          <w:rFonts w:hint="eastAsia" w:ascii="Times New Roman" w:hAnsi="Times New Roman" w:eastAsia="仿宋_GB2312" w:cs="Times New Roman"/>
          <w:color w:val="auto"/>
          <w:sz w:val="32"/>
          <w:lang w:val="en-US" w:eastAsia="zh-CN"/>
        </w:rPr>
        <w:t>8</w:t>
      </w:r>
      <w:r>
        <w:rPr>
          <w:rFonts w:hint="default" w:ascii="Times New Roman" w:hAnsi="Times New Roman" w:eastAsia="仿宋_GB2312" w:cs="Times New Roman"/>
          <w:sz w:val="32"/>
        </w:rPr>
        <w:t>号</w:t>
      </w:r>
    </w:p>
    <w:p w14:paraId="1359B31D">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pacing w:val="-4"/>
          <w:sz w:val="32"/>
          <w:szCs w:val="32"/>
          <w:highlight w:val="none"/>
        </w:rPr>
      </w:pPr>
    </w:p>
    <w:p w14:paraId="29130CF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eastAsia="仿宋_GB2312"/>
          <w:spacing w:val="-4"/>
          <w:sz w:val="32"/>
          <w:szCs w:val="32"/>
          <w:highlight w:val="none"/>
        </w:rPr>
      </w:pPr>
      <w:r>
        <w:rPr>
          <w:rFonts w:eastAsia="仿宋_GB2312"/>
          <w:spacing w:val="-4"/>
          <w:sz w:val="32"/>
          <w:szCs w:val="32"/>
          <w:highlight w:val="none"/>
        </w:rPr>
        <w:t>各</w:t>
      </w:r>
      <w:r>
        <w:rPr>
          <w:rFonts w:hint="eastAsia" w:eastAsia="仿宋_GB2312"/>
          <w:spacing w:val="-4"/>
          <w:sz w:val="32"/>
          <w:szCs w:val="32"/>
          <w:highlight w:val="none"/>
          <w:lang w:val="en-US" w:eastAsia="zh-CN"/>
        </w:rPr>
        <w:t>初中校</w:t>
      </w:r>
      <w:r>
        <w:rPr>
          <w:rFonts w:hint="eastAsia" w:eastAsia="仿宋_GB2312"/>
          <w:spacing w:val="-4"/>
          <w:sz w:val="32"/>
          <w:szCs w:val="32"/>
          <w:highlight w:val="none"/>
          <w:lang w:eastAsia="zh-CN"/>
        </w:rPr>
        <w:t>，</w:t>
      </w:r>
      <w:r>
        <w:rPr>
          <w:rFonts w:hint="eastAsia" w:eastAsia="仿宋_GB2312"/>
          <w:spacing w:val="-4"/>
          <w:sz w:val="32"/>
          <w:szCs w:val="32"/>
          <w:highlight w:val="none"/>
          <w:lang w:val="en-US" w:eastAsia="zh-CN"/>
        </w:rPr>
        <w:t>各</w:t>
      </w:r>
      <w:r>
        <w:rPr>
          <w:rFonts w:eastAsia="仿宋_GB2312"/>
          <w:spacing w:val="-4"/>
          <w:sz w:val="32"/>
          <w:szCs w:val="32"/>
          <w:highlight w:val="none"/>
        </w:rPr>
        <w:t>有关单位：</w:t>
      </w:r>
    </w:p>
    <w:p w14:paraId="75924820">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eastAsia="仿宋_GB2312"/>
          <w:spacing w:val="-4"/>
          <w:sz w:val="32"/>
          <w:szCs w:val="32"/>
          <w:highlight w:val="none"/>
        </w:rPr>
      </w:pPr>
      <w:r>
        <w:rPr>
          <w:rFonts w:hint="eastAsia" w:eastAsia="仿宋_GB2312"/>
          <w:spacing w:val="-4"/>
          <w:sz w:val="32"/>
          <w:szCs w:val="32"/>
          <w:highlight w:val="none"/>
          <w:lang w:val="en-US" w:eastAsia="zh-CN"/>
        </w:rPr>
        <w:t>经研究，</w:t>
      </w:r>
      <w:r>
        <w:rPr>
          <w:rFonts w:eastAsia="仿宋_GB2312"/>
          <w:spacing w:val="-4"/>
          <w:sz w:val="32"/>
          <w:szCs w:val="32"/>
          <w:highlight w:val="none"/>
        </w:rPr>
        <w:t>现将《</w:t>
      </w:r>
      <w:r>
        <w:rPr>
          <w:rFonts w:hint="eastAsia" w:eastAsia="仿宋_GB2312"/>
          <w:spacing w:val="-4"/>
          <w:sz w:val="32"/>
          <w:szCs w:val="32"/>
          <w:highlight w:val="none"/>
        </w:rPr>
        <w:t>太仓市初中学校“强校计划”</w:t>
      </w:r>
      <w:r>
        <w:rPr>
          <w:rFonts w:hint="eastAsia" w:eastAsia="仿宋_GB2312"/>
          <w:spacing w:val="-4"/>
          <w:sz w:val="32"/>
          <w:szCs w:val="32"/>
          <w:highlight w:val="none"/>
          <w:lang w:val="en-US" w:eastAsia="zh-CN"/>
        </w:rPr>
        <w:t>二期提升行动方案（2025—2027年）</w:t>
      </w:r>
      <w:r>
        <w:rPr>
          <w:rFonts w:eastAsia="仿宋_GB2312"/>
          <w:spacing w:val="-4"/>
          <w:sz w:val="32"/>
          <w:szCs w:val="32"/>
          <w:highlight w:val="none"/>
        </w:rPr>
        <w:t>》印发给你们，请认真贯彻</w:t>
      </w:r>
      <w:r>
        <w:rPr>
          <w:rFonts w:hint="eastAsia" w:eastAsia="仿宋_GB2312"/>
          <w:spacing w:val="-4"/>
          <w:sz w:val="32"/>
          <w:szCs w:val="32"/>
          <w:highlight w:val="none"/>
          <w:lang w:val="en-US" w:eastAsia="zh-CN"/>
        </w:rPr>
        <w:t>落实</w:t>
      </w:r>
      <w:r>
        <w:rPr>
          <w:rFonts w:eastAsia="仿宋_GB2312"/>
          <w:spacing w:val="-4"/>
          <w:sz w:val="32"/>
          <w:szCs w:val="32"/>
          <w:highlight w:val="none"/>
        </w:rPr>
        <w:t>。</w:t>
      </w:r>
    </w:p>
    <w:p w14:paraId="1E02905D">
      <w:pPr>
        <w:keepNext w:val="0"/>
        <w:keepLines w:val="0"/>
        <w:pageBreakBefore w:val="0"/>
        <w:widowControl w:val="0"/>
        <w:kinsoku/>
        <w:wordWrap/>
        <w:overflowPunct/>
        <w:topLinePunct w:val="0"/>
        <w:autoSpaceDE/>
        <w:autoSpaceDN/>
        <w:bidi w:val="0"/>
        <w:adjustRightInd/>
        <w:snapToGrid/>
        <w:spacing w:line="560" w:lineRule="exact"/>
        <w:ind w:firstLine="468" w:firstLineChars="150"/>
        <w:textAlignment w:val="auto"/>
        <w:rPr>
          <w:rFonts w:eastAsia="仿宋_GB2312"/>
          <w:spacing w:val="-4"/>
          <w:sz w:val="32"/>
          <w:szCs w:val="32"/>
          <w:highlight w:val="none"/>
        </w:rPr>
      </w:pPr>
      <w:r>
        <w:rPr>
          <w:rFonts w:eastAsia="仿宋_GB2312"/>
          <w:spacing w:val="-4"/>
          <w:sz w:val="32"/>
          <w:szCs w:val="32"/>
          <w:highlight w:val="none"/>
        </w:rPr>
        <w:t xml:space="preserve"> </w:t>
      </w:r>
    </w:p>
    <w:p w14:paraId="289CABF9">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pacing w:val="-4"/>
          <w:sz w:val="32"/>
          <w:szCs w:val="32"/>
          <w:highlight w:val="none"/>
        </w:rPr>
      </w:pPr>
    </w:p>
    <w:p w14:paraId="72AB7F65">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spacing w:val="-4"/>
          <w:sz w:val="32"/>
          <w:szCs w:val="32"/>
          <w:highlight w:val="none"/>
        </w:rPr>
      </w:pPr>
    </w:p>
    <w:p w14:paraId="7CD56078">
      <w:pPr>
        <w:keepNext w:val="0"/>
        <w:keepLines w:val="0"/>
        <w:pageBreakBefore w:val="0"/>
        <w:widowControl w:val="0"/>
        <w:kinsoku/>
        <w:wordWrap/>
        <w:overflowPunct/>
        <w:topLinePunct w:val="0"/>
        <w:autoSpaceDE/>
        <w:autoSpaceDN/>
        <w:bidi w:val="0"/>
        <w:adjustRightInd/>
        <w:snapToGrid/>
        <w:spacing w:line="560" w:lineRule="exact"/>
        <w:textAlignment w:val="auto"/>
        <w:rPr>
          <w:rFonts w:eastAsia="仿宋_GB2312"/>
          <w:color w:val="000000"/>
          <w:spacing w:val="-4"/>
          <w:sz w:val="32"/>
          <w:szCs w:val="32"/>
          <w:highlight w:val="none"/>
        </w:rPr>
      </w:pPr>
      <w:r>
        <w:rPr>
          <w:rFonts w:eastAsia="仿宋_GB2312"/>
          <w:spacing w:val="-4"/>
          <w:sz w:val="32"/>
          <w:szCs w:val="32"/>
          <w:highlight w:val="none"/>
        </w:rPr>
        <w:t xml:space="preserve">                            </w:t>
      </w:r>
      <w:r>
        <w:rPr>
          <w:rFonts w:eastAsia="仿宋_GB2312"/>
          <w:color w:val="000000"/>
          <w:spacing w:val="-4"/>
          <w:sz w:val="32"/>
          <w:szCs w:val="32"/>
          <w:highlight w:val="none"/>
        </w:rPr>
        <w:t xml:space="preserve">           太仓市教育局</w:t>
      </w:r>
    </w:p>
    <w:p w14:paraId="688E67BA">
      <w:pPr>
        <w:keepNext w:val="0"/>
        <w:keepLines w:val="0"/>
        <w:pageBreakBefore w:val="0"/>
        <w:widowControl w:val="0"/>
        <w:kinsoku/>
        <w:wordWrap/>
        <w:overflowPunct/>
        <w:topLinePunct w:val="0"/>
        <w:autoSpaceDE/>
        <w:autoSpaceDN/>
        <w:bidi w:val="0"/>
        <w:adjustRightInd/>
        <w:snapToGrid/>
        <w:spacing w:line="560" w:lineRule="exact"/>
        <w:ind w:firstLine="5460" w:firstLineChars="1750"/>
        <w:textAlignment w:val="auto"/>
        <w:rPr>
          <w:rFonts w:eastAsia="仿宋_GB2312"/>
          <w:color w:val="000000"/>
          <w:spacing w:val="-4"/>
          <w:sz w:val="32"/>
          <w:szCs w:val="32"/>
          <w:highlight w:val="none"/>
        </w:rPr>
      </w:pPr>
      <w:r>
        <w:rPr>
          <w:rFonts w:hint="eastAsia" w:eastAsia="仿宋_GB2312"/>
          <w:color w:val="000000"/>
          <w:spacing w:val="-4"/>
          <w:sz w:val="32"/>
          <w:szCs w:val="32"/>
          <w:highlight w:val="none"/>
        </w:rPr>
        <w:t xml:space="preserve"> </w:t>
      </w:r>
      <w:r>
        <w:rPr>
          <w:rFonts w:eastAsia="仿宋_GB2312"/>
          <w:color w:val="000000"/>
          <w:spacing w:val="-4"/>
          <w:sz w:val="32"/>
          <w:szCs w:val="32"/>
          <w:highlight w:val="none"/>
        </w:rPr>
        <w:t xml:space="preserve"> 202</w:t>
      </w:r>
      <w:r>
        <w:rPr>
          <w:rFonts w:hint="eastAsia" w:eastAsia="仿宋_GB2312"/>
          <w:color w:val="000000"/>
          <w:spacing w:val="-4"/>
          <w:sz w:val="32"/>
          <w:szCs w:val="32"/>
          <w:highlight w:val="none"/>
          <w:lang w:val="en-US" w:eastAsia="zh-CN"/>
        </w:rPr>
        <w:t>5</w:t>
      </w:r>
      <w:r>
        <w:rPr>
          <w:rFonts w:eastAsia="仿宋_GB2312"/>
          <w:color w:val="000000"/>
          <w:spacing w:val="-4"/>
          <w:sz w:val="32"/>
          <w:szCs w:val="32"/>
          <w:highlight w:val="none"/>
        </w:rPr>
        <w:t>年</w:t>
      </w:r>
      <w:r>
        <w:rPr>
          <w:rFonts w:hint="eastAsia" w:eastAsia="仿宋_GB2312"/>
          <w:color w:val="000000"/>
          <w:spacing w:val="-4"/>
          <w:sz w:val="32"/>
          <w:szCs w:val="32"/>
          <w:highlight w:val="none"/>
          <w:lang w:val="en-US" w:eastAsia="zh-CN"/>
        </w:rPr>
        <w:t>9</w:t>
      </w:r>
      <w:r>
        <w:rPr>
          <w:rFonts w:eastAsia="仿宋_GB2312"/>
          <w:color w:val="000000"/>
          <w:spacing w:val="-4"/>
          <w:sz w:val="32"/>
          <w:szCs w:val="32"/>
          <w:highlight w:val="none"/>
        </w:rPr>
        <w:t>月</w:t>
      </w:r>
      <w:r>
        <w:rPr>
          <w:rFonts w:hint="eastAsia" w:eastAsia="仿宋_GB2312"/>
          <w:color w:val="000000"/>
          <w:spacing w:val="-4"/>
          <w:sz w:val="32"/>
          <w:szCs w:val="32"/>
          <w:highlight w:val="none"/>
          <w:lang w:val="en-US" w:eastAsia="zh-CN"/>
        </w:rPr>
        <w:t>22</w:t>
      </w:r>
      <w:r>
        <w:rPr>
          <w:rFonts w:eastAsia="仿宋_GB2312"/>
          <w:color w:val="000000"/>
          <w:spacing w:val="-4"/>
          <w:sz w:val="32"/>
          <w:szCs w:val="32"/>
          <w:highlight w:val="none"/>
        </w:rPr>
        <w:t>日</w:t>
      </w:r>
    </w:p>
    <w:p w14:paraId="23F2D810">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eastAsia="仿宋_GB2312"/>
          <w:spacing w:val="-4"/>
          <w:sz w:val="32"/>
          <w:szCs w:val="32"/>
          <w:highlight w:val="none"/>
        </w:rPr>
      </w:pPr>
      <w:r>
        <w:rPr>
          <w:rFonts w:eastAsia="仿宋_GB2312"/>
          <w:spacing w:val="-4"/>
          <w:sz w:val="32"/>
          <w:szCs w:val="32"/>
          <w:highlight w:val="none"/>
        </w:rPr>
        <w:t>（此件公开发布）</w:t>
      </w:r>
    </w:p>
    <w:p w14:paraId="33F2AEBC">
      <w:pPr>
        <w:keepNext w:val="0"/>
        <w:keepLines w:val="0"/>
        <w:pageBreakBefore w:val="0"/>
        <w:widowControl w:val="0"/>
        <w:kinsoku/>
        <w:wordWrap/>
        <w:overflowPunct/>
        <w:topLinePunct w:val="0"/>
        <w:autoSpaceDE/>
        <w:autoSpaceDN/>
        <w:bidi w:val="0"/>
        <w:adjustRightInd/>
        <w:snapToGrid/>
        <w:spacing w:line="580" w:lineRule="exact"/>
        <w:textAlignment w:val="auto"/>
        <w:rPr>
          <w:rFonts w:eastAsia="黑体"/>
          <w:sz w:val="32"/>
          <w:szCs w:val="32"/>
          <w:highlight w:val="none"/>
          <w:u w:val="single"/>
        </w:rPr>
      </w:pPr>
    </w:p>
    <w:p w14:paraId="241E8635">
      <w:pPr>
        <w:keepNext w:val="0"/>
        <w:keepLines w:val="0"/>
        <w:pageBreakBefore w:val="0"/>
        <w:widowControl w:val="0"/>
        <w:kinsoku/>
        <w:wordWrap/>
        <w:overflowPunct/>
        <w:topLinePunct w:val="0"/>
        <w:autoSpaceDE/>
        <w:autoSpaceDN/>
        <w:bidi w:val="0"/>
        <w:adjustRightInd/>
        <w:snapToGrid/>
        <w:spacing w:line="580" w:lineRule="exact"/>
        <w:textAlignment w:val="auto"/>
        <w:rPr>
          <w:rFonts w:eastAsia="黑体"/>
          <w:sz w:val="32"/>
          <w:szCs w:val="32"/>
          <w:highlight w:val="none"/>
          <w:u w:val="single"/>
        </w:rPr>
      </w:pPr>
    </w:p>
    <w:p w14:paraId="0F85FFCE">
      <w:pPr>
        <w:spacing w:line="240" w:lineRule="exact"/>
        <w:rPr>
          <w:rFonts w:eastAsia="黑体"/>
          <w:sz w:val="32"/>
          <w:szCs w:val="32"/>
          <w:highlight w:val="none"/>
          <w:u w:val="single"/>
        </w:rPr>
      </w:pPr>
    </w:p>
    <w:p w14:paraId="35E0E69A">
      <w:pPr>
        <w:spacing w:line="240" w:lineRule="exact"/>
        <w:rPr>
          <w:rFonts w:eastAsia="黑体"/>
          <w:sz w:val="32"/>
          <w:szCs w:val="32"/>
          <w:highlight w:val="none"/>
          <w:u w:val="single"/>
        </w:rPr>
      </w:pPr>
    </w:p>
    <w:p w14:paraId="1CF0E99D">
      <w:pPr>
        <w:spacing w:line="240" w:lineRule="exact"/>
        <w:rPr>
          <w:rFonts w:eastAsia="黑体"/>
          <w:sz w:val="32"/>
          <w:szCs w:val="32"/>
          <w:highlight w:val="none"/>
          <w:u w:val="single"/>
        </w:rPr>
      </w:pPr>
    </w:p>
    <w:p w14:paraId="704D2315">
      <w:pPr>
        <w:spacing w:line="240" w:lineRule="exact"/>
        <w:rPr>
          <w:rFonts w:eastAsia="黑体"/>
          <w:sz w:val="32"/>
          <w:szCs w:val="32"/>
          <w:highlight w:val="none"/>
          <w:u w:val="single"/>
        </w:rPr>
      </w:pPr>
    </w:p>
    <w:p w14:paraId="69AA8BA3">
      <w:pPr>
        <w:spacing w:line="240" w:lineRule="exact"/>
        <w:rPr>
          <w:rFonts w:eastAsia="黑体"/>
          <w:sz w:val="32"/>
          <w:szCs w:val="32"/>
          <w:highlight w:val="none"/>
          <w:u w:val="single"/>
        </w:rPr>
      </w:pPr>
    </w:p>
    <w:p w14:paraId="73DD9FE9">
      <w:pPr>
        <w:spacing w:line="240" w:lineRule="exact"/>
        <w:rPr>
          <w:rFonts w:eastAsia="黑体"/>
          <w:sz w:val="32"/>
          <w:szCs w:val="32"/>
          <w:highlight w:val="none"/>
          <w:u w:val="single"/>
        </w:rPr>
      </w:pPr>
    </w:p>
    <w:p w14:paraId="772E6962">
      <w:pPr>
        <w:spacing w:line="240" w:lineRule="exact"/>
        <w:rPr>
          <w:rFonts w:eastAsia="黑体"/>
          <w:sz w:val="32"/>
          <w:szCs w:val="32"/>
          <w:highlight w:val="none"/>
          <w:u w:val="single"/>
        </w:rPr>
      </w:pPr>
    </w:p>
    <w:p w14:paraId="003F4EB1">
      <w:pPr>
        <w:spacing w:line="240" w:lineRule="exact"/>
        <w:rPr>
          <w:rFonts w:eastAsia="黑体"/>
          <w:sz w:val="32"/>
          <w:szCs w:val="32"/>
          <w:highlight w:val="none"/>
          <w:u w:val="single"/>
        </w:rPr>
      </w:pPr>
    </w:p>
    <w:p w14:paraId="5DE9015B">
      <w:pPr>
        <w:spacing w:line="240" w:lineRule="exact"/>
        <w:rPr>
          <w:rFonts w:eastAsia="黑体"/>
          <w:sz w:val="32"/>
          <w:szCs w:val="32"/>
          <w:highlight w:val="none"/>
          <w:u w:val="single"/>
        </w:rPr>
      </w:pPr>
    </w:p>
    <w:p w14:paraId="16827DEF">
      <w:pPr>
        <w:spacing w:line="240" w:lineRule="exact"/>
        <w:rPr>
          <w:rFonts w:eastAsia="黑体"/>
          <w:sz w:val="32"/>
          <w:szCs w:val="32"/>
          <w:highlight w:val="none"/>
          <w:u w:val="single"/>
        </w:rPr>
      </w:pPr>
    </w:p>
    <w:p w14:paraId="078203D1">
      <w:pPr>
        <w:spacing w:line="240" w:lineRule="exact"/>
        <w:rPr>
          <w:rFonts w:eastAsia="黑体"/>
          <w:sz w:val="32"/>
          <w:szCs w:val="32"/>
          <w:highlight w:val="none"/>
          <w:u w:val="single"/>
        </w:rPr>
      </w:pPr>
      <w:bookmarkStart w:id="0" w:name="_GoBack"/>
      <w:bookmarkEnd w:id="0"/>
    </w:p>
    <w:tbl>
      <w:tblPr>
        <w:tblStyle w:val="6"/>
        <w:tblpPr w:leftFromText="180" w:rightFromText="180" w:vertAnchor="text" w:horzAnchor="page" w:tblpX="1577" w:tblpY="30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5"/>
      </w:tblGrid>
      <w:tr w14:paraId="6C777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8985" w:type="dxa"/>
            <w:tcBorders>
              <w:left w:val="nil"/>
              <w:bottom w:val="single" w:color="auto" w:sz="12" w:space="0"/>
              <w:right w:val="nil"/>
            </w:tcBorders>
            <w:noWrap w:val="0"/>
            <w:vAlign w:val="top"/>
          </w:tcPr>
          <w:p w14:paraId="04419BDE">
            <w:pPr>
              <w:pStyle w:val="9"/>
              <w:overflowPunct w:val="0"/>
              <w:snapToGrid w:val="0"/>
              <w:spacing w:line="360" w:lineRule="exact"/>
              <w:rPr>
                <w:rFonts w:ascii="Times New Roman" w:eastAsia="仿宋_GB2312"/>
                <w:b w:val="0"/>
                <w:sz w:val="28"/>
                <w:szCs w:val="28"/>
                <w:highlight w:val="none"/>
              </w:rPr>
            </w:pPr>
            <w:r>
              <w:rPr>
                <w:rFonts w:ascii="Times New Roman" w:eastAsia="仿宋_GB2312"/>
                <w:b w:val="0"/>
                <w:sz w:val="28"/>
                <w:szCs w:val="28"/>
                <w:highlight w:val="none"/>
              </w:rPr>
              <w:t xml:space="preserve">太仓市教育局办公室                        </w:t>
            </w:r>
            <w:r>
              <w:rPr>
                <w:rFonts w:hint="eastAsia" w:ascii="Times New Roman" w:eastAsia="仿宋_GB2312"/>
                <w:b w:val="0"/>
                <w:sz w:val="28"/>
                <w:szCs w:val="28"/>
                <w:highlight w:val="none"/>
                <w:lang w:val="en-US" w:eastAsia="zh-CN"/>
              </w:rPr>
              <w:t xml:space="preserve"> </w:t>
            </w:r>
            <w:r>
              <w:rPr>
                <w:rFonts w:ascii="Times New Roman" w:eastAsia="仿宋_GB2312"/>
                <w:b w:val="0"/>
                <w:sz w:val="28"/>
                <w:szCs w:val="28"/>
                <w:highlight w:val="none"/>
              </w:rPr>
              <w:t xml:space="preserve">  202</w:t>
            </w:r>
            <w:r>
              <w:rPr>
                <w:rFonts w:hint="eastAsia" w:ascii="Times New Roman" w:eastAsia="仿宋_GB2312"/>
                <w:b w:val="0"/>
                <w:sz w:val="28"/>
                <w:szCs w:val="28"/>
                <w:highlight w:val="none"/>
                <w:lang w:val="en-US" w:eastAsia="zh-CN"/>
              </w:rPr>
              <w:t>5</w:t>
            </w:r>
            <w:r>
              <w:rPr>
                <w:rFonts w:ascii="Times New Roman" w:eastAsia="仿宋_GB2312"/>
                <w:b w:val="0"/>
                <w:sz w:val="28"/>
                <w:szCs w:val="28"/>
                <w:highlight w:val="none"/>
              </w:rPr>
              <w:t>年</w:t>
            </w:r>
            <w:r>
              <w:rPr>
                <w:rFonts w:hint="eastAsia" w:ascii="Times New Roman" w:eastAsia="仿宋_GB2312"/>
                <w:b w:val="0"/>
                <w:sz w:val="28"/>
                <w:szCs w:val="28"/>
                <w:highlight w:val="none"/>
                <w:lang w:val="en-US" w:eastAsia="zh-CN"/>
              </w:rPr>
              <w:t>9</w:t>
            </w:r>
            <w:r>
              <w:rPr>
                <w:rFonts w:ascii="Times New Roman" w:eastAsia="仿宋_GB2312"/>
                <w:b w:val="0"/>
                <w:sz w:val="28"/>
                <w:szCs w:val="28"/>
                <w:highlight w:val="none"/>
              </w:rPr>
              <w:t>月</w:t>
            </w:r>
            <w:r>
              <w:rPr>
                <w:rFonts w:hint="eastAsia" w:ascii="Times New Roman" w:eastAsia="仿宋_GB2312"/>
                <w:b w:val="0"/>
                <w:sz w:val="28"/>
                <w:szCs w:val="28"/>
                <w:highlight w:val="none"/>
                <w:lang w:val="en-US" w:eastAsia="zh-CN"/>
              </w:rPr>
              <w:t>22</w:t>
            </w:r>
            <w:r>
              <w:rPr>
                <w:rFonts w:ascii="Times New Roman" w:eastAsia="仿宋_GB2312"/>
                <w:b w:val="0"/>
                <w:sz w:val="28"/>
                <w:szCs w:val="28"/>
                <w:highlight w:val="none"/>
              </w:rPr>
              <w:t>日印发</w:t>
            </w:r>
          </w:p>
        </w:tc>
      </w:tr>
    </w:tbl>
    <w:p w14:paraId="7DF1C4E2">
      <w:pPr>
        <w:jc w:val="center"/>
        <w:rPr>
          <w:rFonts w:hint="eastAsia" w:ascii="方正小标宋简体" w:hAnsi="方正小标宋简体" w:eastAsia="方正小标宋简体" w:cs="方正小标宋简体"/>
          <w:sz w:val="36"/>
          <w:szCs w:val="36"/>
          <w:highlight w:val="none"/>
        </w:rPr>
        <w:sectPr>
          <w:pgSz w:w="11906" w:h="16838"/>
          <w:pgMar w:top="2041" w:right="1474" w:bottom="1928" w:left="1474" w:header="851" w:footer="992" w:gutter="0"/>
          <w:pgNumType w:fmt="decimal"/>
          <w:cols w:space="425" w:num="1"/>
          <w:docGrid w:type="lines" w:linePitch="312" w:charSpace="0"/>
        </w:sectPr>
      </w:pPr>
    </w:p>
    <w:p w14:paraId="569EFC9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大标宋简体" w:hAnsi="方正大标宋简体" w:eastAsia="方正大标宋简体" w:cs="方正大标宋简体"/>
          <w:color w:val="auto"/>
          <w:spacing w:val="-11"/>
          <w:sz w:val="36"/>
          <w:szCs w:val="36"/>
          <w:lang w:val="en-US" w:eastAsia="zh-CN"/>
        </w:rPr>
      </w:pPr>
      <w:r>
        <w:rPr>
          <w:rFonts w:hint="eastAsia" w:ascii="方正大标宋简体" w:hAnsi="方正大标宋简体" w:eastAsia="方正大标宋简体" w:cs="方正大标宋简体"/>
          <w:color w:val="auto"/>
          <w:spacing w:val="-11"/>
          <w:sz w:val="36"/>
          <w:szCs w:val="36"/>
        </w:rPr>
        <w:t>太仓市初中学校“强校计划”</w:t>
      </w:r>
      <w:r>
        <w:rPr>
          <w:rFonts w:hint="eastAsia" w:ascii="方正大标宋简体" w:hAnsi="方正大标宋简体" w:eastAsia="方正大标宋简体" w:cs="方正大标宋简体"/>
          <w:color w:val="auto"/>
          <w:spacing w:val="-11"/>
          <w:sz w:val="36"/>
          <w:szCs w:val="36"/>
          <w:lang w:val="en-US" w:eastAsia="zh-CN"/>
        </w:rPr>
        <w:t>二期提升行动方案</w:t>
      </w:r>
    </w:p>
    <w:p w14:paraId="3217F0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大标宋简体" w:hAnsi="方正大标宋简体" w:eastAsia="方正大标宋简体" w:cs="方正大标宋简体"/>
          <w:color w:val="auto"/>
          <w:spacing w:val="-11"/>
          <w:sz w:val="36"/>
          <w:szCs w:val="36"/>
          <w:lang w:val="en-US" w:eastAsia="zh-CN"/>
        </w:rPr>
      </w:pPr>
      <w:r>
        <w:rPr>
          <w:rFonts w:hint="default" w:ascii="方正大标宋简体" w:hAnsi="方正大标宋简体" w:eastAsia="方正大标宋简体" w:cs="方正大标宋简体"/>
          <w:color w:val="auto"/>
          <w:spacing w:val="-11"/>
          <w:sz w:val="36"/>
          <w:szCs w:val="36"/>
          <w:lang w:val="en-US" w:eastAsia="zh-CN"/>
        </w:rPr>
        <w:t>（2025—2027年）</w:t>
      </w:r>
    </w:p>
    <w:p w14:paraId="77AE6596">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ascii="Times New Roman" w:hAnsi="Times New Roman" w:eastAsia="仿宋_GB2312" w:cs="Times New Roman"/>
          <w:color w:val="auto"/>
          <w:spacing w:val="-6"/>
          <w:sz w:val="32"/>
          <w:szCs w:val="32"/>
        </w:rPr>
      </w:pPr>
    </w:p>
    <w:p w14:paraId="48C499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color w:val="auto"/>
          <w:spacing w:val="-6"/>
          <w:sz w:val="32"/>
          <w:szCs w:val="32"/>
          <w:lang w:val="en-US" w:eastAsia="zh-CN"/>
        </w:rPr>
        <w:t>为全面贯彻党的二十大精神，落实习近平总书记关于教育的重要论述，依据《教育强国建设规划纲要（2024—2035年）》《关于太仓教育高质量发展的若干举措》等文件要求，围绕“一稳居三提升”目标任务，践行“活力教育”主张，在充分总结</w:t>
      </w:r>
      <w:r>
        <w:rPr>
          <w:rFonts w:hint="eastAsia" w:ascii="Times New Roman" w:hAnsi="Times New Roman" w:eastAsia="仿宋_GB2312" w:cs="Times New Roman"/>
          <w:color w:val="auto"/>
          <w:spacing w:val="-6"/>
          <w:sz w:val="32"/>
          <w:szCs w:val="32"/>
          <w:lang w:val="en-US" w:eastAsia="zh-CN"/>
        </w:rPr>
        <w:t>我市</w:t>
      </w:r>
      <w:r>
        <w:rPr>
          <w:rFonts w:hint="default" w:ascii="Times New Roman" w:hAnsi="Times New Roman" w:eastAsia="仿宋_GB2312" w:cs="Times New Roman"/>
          <w:color w:val="auto"/>
          <w:spacing w:val="-6"/>
          <w:sz w:val="32"/>
          <w:szCs w:val="32"/>
          <w:lang w:val="en-US" w:eastAsia="zh-CN"/>
        </w:rPr>
        <w:t>第一期公办初中“强校计划”好经验、好做法的基础上，聚焦内涵发展，通过政策支持、制度创新和项目实施，进一步提高</w:t>
      </w:r>
      <w:r>
        <w:rPr>
          <w:rFonts w:hint="eastAsia" w:ascii="Times New Roman" w:hAnsi="Times New Roman" w:eastAsia="仿宋_GB2312" w:cs="Times New Roman"/>
          <w:color w:val="auto"/>
          <w:spacing w:val="-6"/>
          <w:sz w:val="32"/>
          <w:szCs w:val="32"/>
          <w:lang w:val="en-US" w:eastAsia="zh-CN"/>
        </w:rPr>
        <w:t>我市</w:t>
      </w:r>
      <w:r>
        <w:rPr>
          <w:rFonts w:hint="default" w:ascii="Times New Roman" w:hAnsi="Times New Roman" w:eastAsia="仿宋_GB2312" w:cs="Times New Roman"/>
          <w:color w:val="auto"/>
          <w:spacing w:val="-6"/>
          <w:sz w:val="32"/>
          <w:szCs w:val="32"/>
          <w:lang w:val="en-US" w:eastAsia="zh-CN"/>
        </w:rPr>
        <w:t>初中教育优质均衡发展水平，</w:t>
      </w:r>
      <w:r>
        <w:rPr>
          <w:rFonts w:hint="eastAsia" w:ascii="Times New Roman" w:hAnsi="Times New Roman" w:eastAsia="仿宋_GB2312" w:cs="Times New Roman"/>
          <w:color w:val="auto"/>
          <w:spacing w:val="-6"/>
          <w:sz w:val="32"/>
          <w:szCs w:val="32"/>
          <w:lang w:val="en-US" w:eastAsia="zh-CN"/>
        </w:rPr>
        <w:t>特制定本</w:t>
      </w:r>
      <w:r>
        <w:rPr>
          <w:rFonts w:hint="default" w:ascii="Times New Roman" w:hAnsi="Times New Roman" w:eastAsia="仿宋_GB2312" w:cs="Times New Roman"/>
          <w:color w:val="auto"/>
          <w:spacing w:val="-6"/>
          <w:sz w:val="32"/>
          <w:szCs w:val="32"/>
          <w:lang w:val="en-US" w:eastAsia="zh-CN"/>
        </w:rPr>
        <w:t>方案</w:t>
      </w:r>
      <w:r>
        <w:rPr>
          <w:rFonts w:hint="eastAsia" w:ascii="Times New Roman" w:hAnsi="Times New Roman" w:eastAsia="仿宋_GB2312" w:cs="Times New Roman"/>
          <w:color w:val="auto"/>
          <w:spacing w:val="-6"/>
          <w:sz w:val="32"/>
          <w:szCs w:val="32"/>
          <w:lang w:val="en-US" w:eastAsia="zh-CN"/>
        </w:rPr>
        <w:t>。</w:t>
      </w:r>
    </w:p>
    <w:p w14:paraId="2797B211">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黑体" w:hAnsi="黑体" w:eastAsia="黑体" w:cs="黑体"/>
          <w:color w:val="auto"/>
          <w:spacing w:val="-6"/>
          <w:sz w:val="32"/>
          <w:szCs w:val="32"/>
        </w:rPr>
      </w:pPr>
      <w:r>
        <w:rPr>
          <w:rFonts w:hint="eastAsia" w:ascii="黑体" w:hAnsi="黑体" w:eastAsia="黑体" w:cs="黑体"/>
          <w:color w:val="auto"/>
          <w:spacing w:val="-6"/>
          <w:sz w:val="32"/>
          <w:szCs w:val="32"/>
          <w:lang w:val="en-US" w:eastAsia="zh-CN"/>
        </w:rPr>
        <w:t>一、</w:t>
      </w:r>
      <w:r>
        <w:rPr>
          <w:rFonts w:hint="eastAsia" w:ascii="黑体" w:hAnsi="黑体" w:eastAsia="黑体" w:cs="黑体"/>
          <w:color w:val="auto"/>
          <w:spacing w:val="-6"/>
          <w:sz w:val="32"/>
          <w:szCs w:val="32"/>
        </w:rPr>
        <w:t>工作目标</w:t>
      </w:r>
    </w:p>
    <w:p w14:paraId="643B4F8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color w:val="auto"/>
          <w:spacing w:val="-6"/>
          <w:sz w:val="32"/>
          <w:szCs w:val="32"/>
          <w:lang w:val="en-US" w:eastAsia="zh-CN"/>
        </w:rPr>
        <w:t>坚持问题导向、目标导向和结果导向，通过3</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5年的努力，实现全市初中学校办学更具活力、课程体系更趋完备、教学方式更加优化，内涵发展和质量水平显著提高，区域初中教育生态明显优化。</w:t>
      </w:r>
      <w:r>
        <w:rPr>
          <w:rFonts w:hint="default" w:ascii="Times New Roman" w:hAnsi="Times New Roman" w:eastAsia="仿宋_GB2312" w:cs="Times New Roman"/>
          <w:color w:val="auto"/>
          <w:spacing w:val="-6"/>
          <w:sz w:val="32"/>
          <w:szCs w:val="32"/>
          <w:highlight w:val="none"/>
          <w:lang w:val="en-US" w:eastAsia="zh-CN"/>
        </w:rPr>
        <w:t>以“强政治、强管理、强育人、强教学、强研究”为抓手，</w:t>
      </w:r>
      <w:r>
        <w:rPr>
          <w:rFonts w:hint="default" w:ascii="Times New Roman" w:hAnsi="Times New Roman" w:eastAsia="仿宋_GB2312" w:cs="Times New Roman"/>
          <w:color w:val="auto"/>
          <w:spacing w:val="-6"/>
          <w:sz w:val="32"/>
          <w:szCs w:val="32"/>
          <w:lang w:val="en-US" w:eastAsia="zh-CN"/>
        </w:rPr>
        <w:t>打造一批在省市具有广泛影响力的教学改革成果，培育一批标杆学校，提炼形成可推广的初中强校区域经验。</w:t>
      </w:r>
    </w:p>
    <w:p w14:paraId="39C199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eastAsia" w:ascii="黑体" w:hAnsi="黑体" w:eastAsia="黑体" w:cs="黑体"/>
          <w:color w:val="auto"/>
          <w:spacing w:val="-6"/>
          <w:sz w:val="32"/>
          <w:szCs w:val="32"/>
          <w:lang w:val="en-US" w:eastAsia="zh-CN"/>
        </w:rPr>
      </w:pPr>
      <w:r>
        <w:rPr>
          <w:rFonts w:hint="eastAsia" w:ascii="黑体" w:hAnsi="黑体" w:eastAsia="黑体" w:cs="黑体"/>
          <w:color w:val="auto"/>
          <w:spacing w:val="-6"/>
          <w:sz w:val="32"/>
          <w:szCs w:val="32"/>
          <w:lang w:val="en-US" w:eastAsia="zh-CN"/>
        </w:rPr>
        <w:t>二、工作举措</w:t>
      </w:r>
    </w:p>
    <w:p w14:paraId="79C06F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eastAsia" w:ascii="楷体_GB2312" w:hAnsi="楷体_GB2312" w:eastAsia="楷体_GB2312" w:cs="楷体_GB2312"/>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（一）总结经验成果，扎实推进强校工程建设</w:t>
      </w:r>
    </w:p>
    <w:p w14:paraId="504781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1.总结一期经验，大力推广应用。</w:t>
      </w:r>
      <w:r>
        <w:rPr>
          <w:rFonts w:hint="default" w:ascii="Times New Roman" w:hAnsi="Times New Roman" w:eastAsia="仿宋_GB2312" w:cs="Times New Roman"/>
          <w:color w:val="auto"/>
          <w:spacing w:val="-6"/>
          <w:sz w:val="32"/>
          <w:szCs w:val="32"/>
          <w:lang w:val="en-US" w:eastAsia="zh-CN"/>
        </w:rPr>
        <w:t>系统梳理第一期“强校计划”在学校高质量发展、教学方式转型、内涵项目建设等方面的改革成果，提炼可复制、可推广的典型经验与可持续发展机制。组织开展优秀案例征集与培育，汇编形成《太仓市第一期“强校计划”成果集》，并通过专题培训、经验分享会等形式进行推广。同时，邀请专家团队为二期“强校计划”行动方案提供专业指导，确保二期建设更具前瞻性</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实效性。</w:t>
      </w:r>
    </w:p>
    <w:p w14:paraId="0CDB86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FF0000"/>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2.遴选二期学校，精准确定对象。</w:t>
      </w:r>
      <w:r>
        <w:rPr>
          <w:rFonts w:hint="default" w:ascii="Times New Roman" w:hAnsi="Times New Roman" w:eastAsia="仿宋_GB2312" w:cs="Times New Roman"/>
          <w:color w:val="auto"/>
          <w:spacing w:val="-6"/>
          <w:sz w:val="32"/>
          <w:szCs w:val="32"/>
          <w:lang w:val="en-US" w:eastAsia="zh-CN"/>
        </w:rPr>
        <w:t>遵循公开、公平、公正原则，在学校自主申报基础上，严格遴选第二期“强校计划”重点培养实验校。入选学校围绕文化引领、内涵建设、教学方式转型等方向，提出具有突破性、创新性的重点项目，以点带面推动全市初中办学水平</w:t>
      </w:r>
      <w:r>
        <w:rPr>
          <w:rFonts w:hint="eastAsia" w:ascii="Times New Roman" w:hAnsi="Times New Roman" w:eastAsia="仿宋_GB2312" w:cs="Times New Roman"/>
          <w:color w:val="auto"/>
          <w:spacing w:val="-6"/>
          <w:sz w:val="32"/>
          <w:szCs w:val="32"/>
          <w:lang w:val="en-US" w:eastAsia="zh-CN"/>
        </w:rPr>
        <w:t>提升</w:t>
      </w:r>
      <w:r>
        <w:rPr>
          <w:rFonts w:hint="default" w:ascii="Times New Roman" w:hAnsi="Times New Roman" w:eastAsia="仿宋_GB2312" w:cs="Times New Roman"/>
          <w:color w:val="auto"/>
          <w:spacing w:val="-6"/>
          <w:sz w:val="32"/>
          <w:szCs w:val="32"/>
          <w:lang w:val="en-US" w:eastAsia="zh-CN"/>
        </w:rPr>
        <w:t>，打造太仓初中教育标杆。</w:t>
      </w:r>
    </w:p>
    <w:p w14:paraId="66333F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eastAsia" w:ascii="楷体_GB2312" w:hAnsi="楷体_GB2312" w:eastAsia="楷体_GB2312" w:cs="楷体_GB2312"/>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（二）狠抓内功提升，全力打造优质师资队伍</w:t>
      </w:r>
    </w:p>
    <w:p w14:paraId="6AB36E29">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1.加强专业赋能，深化教师培养。</w:t>
      </w:r>
      <w:r>
        <w:rPr>
          <w:rFonts w:hint="default" w:ascii="Times New Roman" w:hAnsi="Times New Roman" w:eastAsia="仿宋_GB2312" w:cs="Times New Roman"/>
          <w:color w:val="auto"/>
          <w:spacing w:val="-6"/>
          <w:sz w:val="32"/>
          <w:szCs w:val="32"/>
          <w:lang w:val="en-US" w:eastAsia="zh-CN"/>
        </w:rPr>
        <w:t>围绕提升教师队伍素质，加大初中教师培养力度，通过建立教师专业成长机制，形成省、市、县级三级，教坛新秀、学科带头人、教学名师三类为主的“三级三类”骨干教师队伍体系，着力打造一支师德高尚、业务精湛的高素质教师队伍。围绕打造具有强烈自主发展意愿、扎实改革实践能力和良好团队协作精神的教师队伍，因校制宜开展教师专业发展项目实践。加强学科教研组、备课组建设，常态化开展主题式、课例式、项目式等校本研修，深化“专业引领、任务驱动、同伴互助、研训一体”的教师培养机制。</w:t>
      </w:r>
    </w:p>
    <w:p w14:paraId="52BC3C0A">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2.强化管理驱动，提升治校能力。</w:t>
      </w:r>
      <w:r>
        <w:rPr>
          <w:rFonts w:hint="default" w:ascii="Times New Roman" w:hAnsi="Times New Roman" w:eastAsia="仿宋_GB2312" w:cs="Times New Roman"/>
          <w:color w:val="auto"/>
          <w:spacing w:val="-6"/>
          <w:sz w:val="32"/>
          <w:szCs w:val="32"/>
          <w:lang w:val="en-US" w:eastAsia="zh-CN"/>
        </w:rPr>
        <w:t>围绕打造</w:t>
      </w:r>
      <w:r>
        <w:rPr>
          <w:rFonts w:hint="eastAsia" w:ascii="Times New Roman" w:hAnsi="Times New Roman" w:eastAsia="仿宋_GB2312" w:cs="Times New Roman"/>
          <w:color w:val="auto"/>
          <w:spacing w:val="-6"/>
          <w:sz w:val="32"/>
          <w:szCs w:val="32"/>
          <w:lang w:val="en-US" w:eastAsia="zh-CN"/>
        </w:rPr>
        <w:t>优秀</w:t>
      </w:r>
      <w:r>
        <w:rPr>
          <w:rFonts w:hint="default" w:ascii="Times New Roman" w:hAnsi="Times New Roman" w:eastAsia="仿宋_GB2312" w:cs="Times New Roman"/>
          <w:color w:val="auto"/>
          <w:spacing w:val="-6"/>
          <w:sz w:val="32"/>
          <w:szCs w:val="32"/>
          <w:lang w:val="en-US" w:eastAsia="zh-CN"/>
        </w:rPr>
        <w:t>教师队伍，形成一批群众基础好、政治素养高、业务能力强的“领头雁”</w:t>
      </w:r>
      <w:r>
        <w:rPr>
          <w:rFonts w:hint="default" w:ascii="Times New Roman" w:hAnsi="Times New Roman" w:eastAsia="仿宋_GB2312" w:cs="Times New Roman"/>
          <w:color w:val="auto"/>
          <w:spacing w:val="-6"/>
          <w:sz w:val="32"/>
          <w:szCs w:val="32"/>
          <w:highlight w:val="none"/>
          <w:lang w:val="en-US" w:eastAsia="zh-CN"/>
        </w:rPr>
        <w:t>，以政治建设引领学校发展方向，夯实办学治校思想根基。强化凝聚内力，着力建立学校教师自主培养机制、家校社互动合作机制、学校管理优化机制等，激发教师科研创新活力，以研究型教师队伍建设赋能教育质量提升。定期组织初中书记、校长、副校长、中层干部</w:t>
      </w:r>
      <w:r>
        <w:rPr>
          <w:rFonts w:hint="default" w:ascii="Times New Roman" w:hAnsi="Times New Roman" w:eastAsia="仿宋_GB2312" w:cs="Times New Roman"/>
          <w:color w:val="auto"/>
          <w:spacing w:val="-6"/>
          <w:sz w:val="32"/>
          <w:szCs w:val="32"/>
          <w:lang w:val="en-US" w:eastAsia="zh-CN"/>
        </w:rPr>
        <w:t>专项培训，引领学校管理团队积极探索新时代学校管理方式变革。定期召开初中校长例会，引领学校管理团队开拓视野、深度思考、互学互鉴、共同提升。</w:t>
      </w:r>
    </w:p>
    <w:p w14:paraId="5CA26657">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楷体_GB2312" w:hAnsi="楷体_GB2312" w:eastAsia="楷体_GB2312" w:cs="楷体_GB2312"/>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（三）精耕课堂教学，着力构建活力课堂阵地</w:t>
      </w:r>
    </w:p>
    <w:p w14:paraId="7F029210">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1.推进课堂改革，激发课堂活力。</w:t>
      </w:r>
      <w:r>
        <w:rPr>
          <w:rFonts w:hint="default" w:ascii="Times New Roman" w:hAnsi="Times New Roman" w:eastAsia="仿宋_GB2312" w:cs="Times New Roman"/>
          <w:color w:val="auto"/>
          <w:spacing w:val="-6"/>
          <w:sz w:val="32"/>
          <w:szCs w:val="32"/>
          <w:lang w:val="en-US" w:eastAsia="zh-CN"/>
        </w:rPr>
        <w:t>各初中校组织全员学习义务教育新课程方案、课程标准，坚持“五育并举”、融合育人，构建德智体美劳全面培养的课程实施方案，并结合已有基础，探索实施注重培育创造力的综合课程。健全和规范教学环节，增强教学评一致性。开展学科实践，实施项目化、主题式学习，促进学生在合作互动与问题解决中成长</w:t>
      </w:r>
      <w:r>
        <w:rPr>
          <w:rFonts w:hint="default" w:ascii="Times New Roman" w:hAnsi="Times New Roman" w:eastAsia="仿宋_GB2312" w:cs="Times New Roman"/>
          <w:color w:val="auto"/>
          <w:spacing w:val="-6"/>
          <w:sz w:val="32"/>
          <w:szCs w:val="32"/>
          <w:highlight w:val="none"/>
          <w:lang w:val="en-US" w:eastAsia="zh-CN"/>
        </w:rPr>
        <w:t>。</w:t>
      </w:r>
      <w:r>
        <w:rPr>
          <w:rFonts w:hint="default" w:ascii="Times New Roman" w:hAnsi="Times New Roman" w:eastAsia="仿宋_GB2312" w:cs="Times New Roman"/>
          <w:b w:val="0"/>
          <w:bCs w:val="0"/>
          <w:color w:val="auto"/>
          <w:spacing w:val="-6"/>
          <w:sz w:val="32"/>
          <w:szCs w:val="32"/>
          <w:highlight w:val="none"/>
          <w:lang w:val="en-US" w:eastAsia="zh-CN"/>
        </w:rPr>
        <w:t>加强学段衔接教育，提高育人的连贯性。</w:t>
      </w:r>
      <w:r>
        <w:rPr>
          <w:rFonts w:hint="eastAsia" w:ascii="Times New Roman" w:hAnsi="Times New Roman" w:eastAsia="仿宋_GB2312" w:cs="Times New Roman"/>
          <w:color w:val="auto"/>
          <w:spacing w:val="-6"/>
          <w:sz w:val="32"/>
          <w:szCs w:val="32"/>
          <w:lang w:val="en-US" w:eastAsia="zh-CN"/>
        </w:rPr>
        <w:t>持续</w:t>
      </w:r>
      <w:r>
        <w:rPr>
          <w:rFonts w:hint="default" w:ascii="Times New Roman" w:hAnsi="Times New Roman" w:eastAsia="仿宋_GB2312" w:cs="Times New Roman"/>
          <w:color w:val="auto"/>
          <w:spacing w:val="-6"/>
          <w:sz w:val="32"/>
          <w:szCs w:val="32"/>
          <w:lang w:val="en-US" w:eastAsia="zh-CN"/>
        </w:rPr>
        <w:t>加大对学校课程规划和实施的指导力度，提升学校课程规划能力、创造性落实课程方案能力和课程更新与评估能力。</w:t>
      </w:r>
    </w:p>
    <w:p w14:paraId="29F5E40D">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2.加速数字转型，提高教学效率。</w:t>
      </w:r>
      <w:r>
        <w:rPr>
          <w:rFonts w:hint="default" w:ascii="Times New Roman" w:hAnsi="Times New Roman" w:eastAsia="仿宋_GB2312" w:cs="Times New Roman"/>
          <w:color w:val="auto"/>
          <w:spacing w:val="-6"/>
          <w:sz w:val="32"/>
          <w:szCs w:val="32"/>
          <w:lang w:val="en-US" w:eastAsia="zh-CN"/>
        </w:rPr>
        <w:t>各初中校积极开展教学数字化转型实践，更新教育理念，变革教学模式，提升师生信息素养，创建跨学科学习空间。依托大数据开展学业质量分析与评价，精准实施差异化教学与个性化辅导，推动因材施教常态化、教学方式智能化、评价体系科学化。创新备课、教学、作业等教育场景，探索线上线下深度融合。基于学情数据，精准识别“学有余力”“基础扎实”“需提升薄弱环节”三类学生群体，制定分层分类培养方案，依托数字化工具开展动态跟踪与靶向提升。</w:t>
      </w:r>
    </w:p>
    <w:p w14:paraId="6A4495C2">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楷体_GB2312" w:hAnsi="楷体_GB2312" w:eastAsia="楷体_GB2312" w:cs="楷体_GB2312"/>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（四）聚焦核心素养，积极激活学习方式变革</w:t>
      </w:r>
    </w:p>
    <w:p w14:paraId="3D1A496D">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1.提升作业质量，优化课后服务。</w:t>
      </w:r>
      <w:r>
        <w:rPr>
          <w:rFonts w:hint="default" w:ascii="Times New Roman" w:hAnsi="Times New Roman" w:eastAsia="仿宋_GB2312" w:cs="Times New Roman"/>
          <w:color w:val="auto"/>
          <w:spacing w:val="-6"/>
          <w:sz w:val="32"/>
          <w:szCs w:val="32"/>
          <w:lang w:val="en-US" w:eastAsia="zh-CN"/>
        </w:rPr>
        <w:t>将作业设计纳入教研体系系统设计、统筹管理，控制作业总量和难度，提高作业设计质量，加</w:t>
      </w:r>
      <w:r>
        <w:rPr>
          <w:rFonts w:hint="default" w:ascii="Times New Roman" w:hAnsi="Times New Roman" w:eastAsia="仿宋_GB2312" w:cs="Times New Roman"/>
          <w:color w:val="auto"/>
          <w:spacing w:val="-6"/>
          <w:sz w:val="32"/>
          <w:szCs w:val="32"/>
          <w:highlight w:val="none"/>
          <w:lang w:val="en-US" w:eastAsia="zh-CN"/>
        </w:rPr>
        <w:t>强优质作业资源共享，鼓励设计和布置分层、弹性、个性化作业，加快高质量校本作业体系建设。丰</w:t>
      </w:r>
      <w:r>
        <w:rPr>
          <w:rFonts w:hint="default" w:ascii="Times New Roman" w:hAnsi="Times New Roman" w:eastAsia="仿宋_GB2312" w:cs="Times New Roman"/>
          <w:color w:val="auto"/>
          <w:spacing w:val="-6"/>
          <w:sz w:val="32"/>
          <w:szCs w:val="32"/>
          <w:lang w:val="en-US" w:eastAsia="zh-CN"/>
        </w:rPr>
        <w:t>富拓展性课后服务内容，为学有余力的学生拓展学习空间。积极创造条件发展学生社团，将学生社团活动纳入课程体系，保障学生参与社团活动的时间，并发挥教师特长和利用社会资源组织指导学生社团活动，激发学生兴趣爱好，彰显学生个性特长，促进学生全面发展。</w:t>
      </w:r>
    </w:p>
    <w:p w14:paraId="16D91975">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2.强化实践培养，提升综合能力。</w:t>
      </w:r>
      <w:r>
        <w:rPr>
          <w:rFonts w:hint="default" w:ascii="Times New Roman" w:hAnsi="Times New Roman" w:eastAsia="仿宋_GB2312" w:cs="Times New Roman"/>
          <w:color w:val="auto"/>
          <w:spacing w:val="-6"/>
          <w:sz w:val="32"/>
          <w:szCs w:val="32"/>
          <w:lang w:val="en-US" w:eastAsia="zh-CN"/>
        </w:rPr>
        <w:t>注重实验教学，完善初中学业水平考试科学实验操作测试制度，有效提升初中生科学实验操作能力。大力推动研究型、项目化、合作式学习，推进STEAM课程建设与创客教育，探索多学科知识融合教学路径，培养学生跨学科知识的综合运用能力以及合作、探究精神。加强科学教育，借助特色高中、高校、协会资源，创新初中生科技教育平台，延伸科学课堂时空。</w:t>
      </w:r>
    </w:p>
    <w:p w14:paraId="20A296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eastAsia" w:ascii="楷体_GB2312" w:hAnsi="楷体_GB2312" w:eastAsia="楷体_GB2312" w:cs="楷体_GB2312"/>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（五）探索多元评价，有力赋能强校工程升级</w:t>
      </w:r>
    </w:p>
    <w:p w14:paraId="77C38572">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1.构建评价框架，打造立体体系。</w:t>
      </w:r>
      <w:r>
        <w:rPr>
          <w:rFonts w:hint="default" w:ascii="Times New Roman" w:hAnsi="Times New Roman" w:eastAsia="仿宋_GB2312" w:cs="Times New Roman"/>
          <w:b w:val="0"/>
          <w:bCs w:val="0"/>
          <w:color w:val="auto"/>
          <w:spacing w:val="-6"/>
          <w:sz w:val="32"/>
          <w:szCs w:val="32"/>
          <w:highlight w:val="none"/>
          <w:lang w:val="en-US" w:eastAsia="zh-CN"/>
        </w:rPr>
        <w:t>推动中考评价体系与高中阶段教育评价理念相衔接，构建起“基础监测+综合发展+个性成长”三级评价模型，打造立体评价体系，实现基础教育评价的连贯性与系统性，促进学生全面成长。</w:t>
      </w:r>
      <w:r>
        <w:rPr>
          <w:rFonts w:hint="default" w:ascii="Times New Roman" w:hAnsi="Times New Roman" w:eastAsia="仿宋_GB2312" w:cs="Times New Roman"/>
          <w:color w:val="auto"/>
          <w:spacing w:val="-6"/>
          <w:sz w:val="32"/>
          <w:szCs w:val="32"/>
          <w:lang w:val="en-US" w:eastAsia="zh-CN"/>
        </w:rPr>
        <w:t>基础监测采用市级统一质量监测与日常学习达标过关等级相结合的方式，覆盖学科核心素养</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综合发展评价聚焦德智体美劳全面发展，将学生参与德育实践、心理健康教育、劳动技能培养等表现纳入评价范畴</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个性成长评价记录学生在艺术、体育、科技等领域的特长发展轨迹，形成“一人一档案”的个性化成长画像，强化对学生个体差异的关注，通过差异化指标设计，最大限度激发学生发展潜能。</w:t>
      </w:r>
    </w:p>
    <w:p w14:paraId="25F0445E">
      <w:pPr>
        <w:keepNext w:val="0"/>
        <w:keepLines w:val="0"/>
        <w:pageBreakBefore w:val="0"/>
        <w:widowControl w:val="0"/>
        <w:kinsoku/>
        <w:wordWrap/>
        <w:overflowPunct/>
        <w:topLinePunct w:val="0"/>
        <w:autoSpaceDE/>
        <w:autoSpaceDN/>
        <w:bidi w:val="0"/>
        <w:adjustRightInd/>
        <w:snapToGrid/>
        <w:spacing w:line="560" w:lineRule="exact"/>
        <w:ind w:firstLine="619" w:firstLineChars="200"/>
        <w:textAlignment w:val="auto"/>
        <w:rPr>
          <w:rFonts w:hint="default" w:ascii="Times New Roman" w:hAnsi="Times New Roman" w:eastAsia="仿宋_GB2312" w:cs="Times New Roman"/>
          <w:color w:val="auto"/>
          <w:spacing w:val="-6"/>
          <w:sz w:val="32"/>
          <w:szCs w:val="32"/>
          <w:lang w:val="en-US" w:eastAsia="zh-CN"/>
        </w:rPr>
      </w:pPr>
      <w:r>
        <w:rPr>
          <w:rFonts w:hint="default" w:ascii="Times New Roman" w:hAnsi="Times New Roman" w:eastAsia="仿宋_GB2312" w:cs="Times New Roman"/>
          <w:b/>
          <w:bCs/>
          <w:color w:val="auto"/>
          <w:spacing w:val="-6"/>
          <w:sz w:val="32"/>
          <w:szCs w:val="32"/>
          <w:lang w:val="en-US" w:eastAsia="zh-CN"/>
        </w:rPr>
        <w:t>2.强化结果应用，实现增值发展。</w:t>
      </w:r>
      <w:r>
        <w:rPr>
          <w:rFonts w:hint="default" w:ascii="Times New Roman" w:hAnsi="Times New Roman" w:eastAsia="仿宋_GB2312" w:cs="Times New Roman"/>
          <w:color w:val="auto"/>
          <w:spacing w:val="-6"/>
          <w:sz w:val="32"/>
          <w:szCs w:val="32"/>
          <w:lang w:val="en-US" w:eastAsia="zh-CN"/>
        </w:rPr>
        <w:t>建立评价数据智能分析系统，对接“智慧教育样板区”数据平台，通过大数据挖掘分析学生发展优势与不足，为学校优化课程设置、教师调整教学策略提供精准依据。推行“评价反馈</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教学改进</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跟踪评估”闭环管理，针对不同学业水平、兴趣特长的学生制定个性化成长方案。在初中阶段探索实施“职业启蒙评价”，通过职业体验活动记录、企业导师评价等方式，为学生生涯规划提供早期指导。将评价结果与教育质量监测、学校绩效考核挂钩，形成“以评促改、以评促建”的良性发展机制，助力太仓“活力教育”品牌内涵提升。</w:t>
      </w:r>
    </w:p>
    <w:p w14:paraId="60A88830">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eastAsia" w:ascii="黑体" w:hAnsi="黑体" w:eastAsia="黑体" w:cs="黑体"/>
          <w:color w:val="auto"/>
          <w:spacing w:val="-6"/>
          <w:sz w:val="32"/>
          <w:szCs w:val="32"/>
          <w:lang w:eastAsia="zh-CN"/>
        </w:rPr>
      </w:pPr>
      <w:r>
        <w:rPr>
          <w:rFonts w:hint="eastAsia" w:ascii="黑体" w:hAnsi="黑体" w:eastAsia="黑体" w:cs="黑体"/>
          <w:color w:val="auto"/>
          <w:spacing w:val="-6"/>
          <w:sz w:val="32"/>
          <w:szCs w:val="32"/>
          <w:lang w:val="en-US" w:eastAsia="zh-CN"/>
        </w:rPr>
        <w:t>三</w:t>
      </w:r>
      <w:r>
        <w:rPr>
          <w:rFonts w:hint="eastAsia" w:ascii="黑体" w:hAnsi="黑体" w:eastAsia="黑体" w:cs="黑体"/>
          <w:color w:val="auto"/>
          <w:spacing w:val="-6"/>
          <w:sz w:val="32"/>
          <w:szCs w:val="32"/>
        </w:rPr>
        <w:t>、工作</w:t>
      </w:r>
      <w:r>
        <w:rPr>
          <w:rFonts w:hint="eastAsia" w:ascii="黑体" w:hAnsi="黑体" w:eastAsia="黑体" w:cs="黑体"/>
          <w:color w:val="auto"/>
          <w:spacing w:val="-6"/>
          <w:sz w:val="32"/>
          <w:szCs w:val="32"/>
          <w:lang w:val="en-US" w:eastAsia="zh-CN"/>
        </w:rPr>
        <w:t>保障</w:t>
      </w:r>
    </w:p>
    <w:p w14:paraId="6AC1453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（一）优化组织领导架构。</w:t>
      </w:r>
      <w:r>
        <w:rPr>
          <w:rFonts w:hint="default" w:ascii="Times New Roman" w:hAnsi="Times New Roman" w:eastAsia="仿宋_GB2312" w:cs="Times New Roman"/>
          <w:b w:val="0"/>
          <w:bCs w:val="0"/>
          <w:color w:val="auto"/>
          <w:spacing w:val="-6"/>
          <w:sz w:val="32"/>
          <w:szCs w:val="32"/>
          <w:lang w:val="en-US" w:eastAsia="zh-CN"/>
        </w:rPr>
        <w:t>进一步充实“强校计划”建设</w:t>
      </w:r>
      <w:r>
        <w:rPr>
          <w:rFonts w:hint="eastAsia" w:ascii="Times New Roman" w:hAnsi="Times New Roman" w:eastAsia="仿宋_GB2312" w:cs="Times New Roman"/>
          <w:b w:val="0"/>
          <w:bCs w:val="0"/>
          <w:color w:val="auto"/>
          <w:spacing w:val="-6"/>
          <w:sz w:val="32"/>
          <w:szCs w:val="32"/>
          <w:lang w:val="en-US" w:eastAsia="zh-CN"/>
        </w:rPr>
        <w:t>工作</w:t>
      </w:r>
      <w:r>
        <w:rPr>
          <w:rFonts w:hint="default" w:ascii="Times New Roman" w:hAnsi="Times New Roman" w:eastAsia="仿宋_GB2312" w:cs="Times New Roman"/>
          <w:b w:val="0"/>
          <w:bCs w:val="0"/>
          <w:color w:val="auto"/>
          <w:spacing w:val="-6"/>
          <w:sz w:val="32"/>
          <w:szCs w:val="32"/>
          <w:lang w:val="en-US" w:eastAsia="zh-CN"/>
        </w:rPr>
        <w:t>小组力量，</w:t>
      </w:r>
      <w:r>
        <w:rPr>
          <w:rFonts w:hint="eastAsia" w:ascii="Times New Roman" w:hAnsi="Times New Roman" w:eastAsia="仿宋_GB2312" w:cs="Times New Roman"/>
          <w:b w:val="0"/>
          <w:bCs w:val="0"/>
          <w:color w:val="auto"/>
          <w:spacing w:val="-6"/>
          <w:sz w:val="32"/>
          <w:szCs w:val="32"/>
          <w:lang w:val="en-US" w:eastAsia="zh-CN"/>
        </w:rPr>
        <w:t>市教育局</w:t>
      </w:r>
      <w:r>
        <w:rPr>
          <w:rFonts w:hint="default" w:ascii="Times New Roman" w:hAnsi="Times New Roman" w:eastAsia="仿宋_GB2312" w:cs="Times New Roman"/>
          <w:b w:val="0"/>
          <w:bCs w:val="0"/>
          <w:color w:val="auto"/>
          <w:spacing w:val="-6"/>
          <w:sz w:val="32"/>
          <w:szCs w:val="32"/>
          <w:lang w:val="en-US" w:eastAsia="zh-CN"/>
        </w:rPr>
        <w:t>牵头，教研与督导</w:t>
      </w:r>
      <w:r>
        <w:rPr>
          <w:rFonts w:hint="default" w:ascii="Times New Roman" w:hAnsi="Times New Roman" w:eastAsia="仿宋_GB2312" w:cs="Times New Roman"/>
          <w:color w:val="auto"/>
          <w:spacing w:val="-6"/>
          <w:sz w:val="32"/>
          <w:szCs w:val="32"/>
          <w:lang w:val="en-US" w:eastAsia="zh-CN"/>
        </w:rPr>
        <w:t>部门协同联动，指导、协调、实施全市“强校计划”二期提升行动方案。各初中学校成立的</w:t>
      </w:r>
      <w:r>
        <w:rPr>
          <w:rFonts w:hint="eastAsia" w:ascii="Times New Roman" w:hAnsi="Times New Roman" w:eastAsia="仿宋_GB2312" w:cs="Times New Roman"/>
          <w:color w:val="auto"/>
          <w:spacing w:val="-6"/>
          <w:sz w:val="32"/>
          <w:szCs w:val="32"/>
          <w:lang w:val="en-US" w:eastAsia="zh-CN"/>
        </w:rPr>
        <w:t>工作</w:t>
      </w:r>
      <w:r>
        <w:rPr>
          <w:rFonts w:hint="default" w:ascii="Times New Roman" w:hAnsi="Times New Roman" w:eastAsia="仿宋_GB2312" w:cs="Times New Roman"/>
          <w:color w:val="auto"/>
          <w:spacing w:val="-6"/>
          <w:sz w:val="32"/>
          <w:szCs w:val="32"/>
          <w:lang w:val="en-US" w:eastAsia="zh-CN"/>
        </w:rPr>
        <w:t>小组</w:t>
      </w:r>
      <w:r>
        <w:rPr>
          <w:rFonts w:hint="default" w:ascii="Times New Roman" w:hAnsi="Times New Roman" w:eastAsia="仿宋_GB2312" w:cs="Times New Roman"/>
          <w:b w:val="0"/>
          <w:bCs w:val="0"/>
          <w:color w:val="auto"/>
          <w:spacing w:val="-6"/>
          <w:sz w:val="32"/>
          <w:szCs w:val="32"/>
          <w:lang w:val="en-US" w:eastAsia="zh-CN"/>
        </w:rPr>
        <w:t>由</w:t>
      </w:r>
      <w:r>
        <w:rPr>
          <w:rFonts w:hint="eastAsia" w:eastAsia="仿宋_GB2312" w:cs="Times New Roman"/>
          <w:b w:val="0"/>
          <w:bCs w:val="0"/>
          <w:color w:val="auto"/>
          <w:spacing w:val="-6"/>
          <w:sz w:val="32"/>
          <w:szCs w:val="32"/>
          <w:lang w:val="en-US" w:eastAsia="zh-CN"/>
        </w:rPr>
        <w:t>书记</w:t>
      </w:r>
      <w:r>
        <w:rPr>
          <w:rFonts w:hint="default" w:ascii="Times New Roman" w:hAnsi="Times New Roman" w:eastAsia="仿宋_GB2312" w:cs="Times New Roman"/>
          <w:b w:val="0"/>
          <w:bCs w:val="0"/>
          <w:color w:val="auto"/>
          <w:spacing w:val="-6"/>
          <w:sz w:val="32"/>
          <w:szCs w:val="32"/>
          <w:lang w:val="en-US" w:eastAsia="zh-CN"/>
        </w:rPr>
        <w:t>任组长，并</w:t>
      </w:r>
      <w:r>
        <w:rPr>
          <w:rFonts w:hint="default" w:ascii="Times New Roman" w:hAnsi="Times New Roman" w:eastAsia="仿宋_GB2312" w:cs="Times New Roman"/>
          <w:color w:val="auto"/>
          <w:spacing w:val="-6"/>
          <w:sz w:val="32"/>
          <w:szCs w:val="32"/>
          <w:lang w:val="en-US" w:eastAsia="zh-CN"/>
        </w:rPr>
        <w:t xml:space="preserve">构建多层级执行网络，制定本校“强校计划”二轮提升行动方案，深度剖析现状，优化工作目标，细化行动措施，将每学期的工作任务，切实落实到位。 </w:t>
      </w:r>
    </w:p>
    <w:p w14:paraId="2A8A69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（二）拓展经费保障渠道。</w:t>
      </w:r>
      <w:r>
        <w:rPr>
          <w:rFonts w:hint="default" w:ascii="Times New Roman" w:hAnsi="Times New Roman" w:eastAsia="仿宋_GB2312" w:cs="Times New Roman"/>
          <w:color w:val="auto"/>
          <w:spacing w:val="-6"/>
          <w:sz w:val="32"/>
          <w:szCs w:val="32"/>
          <w:lang w:val="en-US" w:eastAsia="zh-CN"/>
        </w:rPr>
        <w:t>市教育局设立“强校计划”专项经费，吸引社会公益组织、企业教育基金等多元资金注入，拓宽经费来源。各初中设立“强校计划”专项资金，积极争取地方资源，丰富校内专项资金池，用于专业研究、开展活动、评优评先等，激发创新实践活力，保障各项培养活动高质量、可持续发展。</w:t>
      </w:r>
      <w:r>
        <w:rPr>
          <w:rFonts w:hint="eastAsia" w:ascii="Times New Roman" w:hAnsi="Times New Roman" w:eastAsia="仿宋_GB2312" w:cs="Times New Roman"/>
          <w:color w:val="auto"/>
          <w:spacing w:val="-6"/>
          <w:sz w:val="32"/>
          <w:szCs w:val="32"/>
          <w:lang w:val="en-US" w:eastAsia="zh-CN"/>
        </w:rPr>
        <w:t>确保</w:t>
      </w:r>
      <w:r>
        <w:rPr>
          <w:rFonts w:hint="eastAsia" w:eastAsia="仿宋_GB2312" w:cs="Times New Roman"/>
          <w:color w:val="auto"/>
          <w:spacing w:val="-6"/>
          <w:sz w:val="32"/>
          <w:szCs w:val="32"/>
          <w:lang w:val="en-US" w:eastAsia="zh-CN"/>
        </w:rPr>
        <w:t>各项</w:t>
      </w:r>
      <w:r>
        <w:rPr>
          <w:rFonts w:hint="default" w:ascii="Times New Roman" w:hAnsi="Times New Roman" w:eastAsia="仿宋_GB2312" w:cs="Times New Roman"/>
          <w:color w:val="auto"/>
          <w:spacing w:val="-6"/>
          <w:sz w:val="32"/>
          <w:szCs w:val="32"/>
          <w:lang w:val="en-US" w:eastAsia="zh-CN"/>
        </w:rPr>
        <w:t>经费专款专用</w:t>
      </w:r>
      <w:r>
        <w:rPr>
          <w:rFonts w:hint="eastAsia" w:ascii="Times New Roman" w:hAnsi="Times New Roman" w:eastAsia="仿宋_GB2312" w:cs="Times New Roman"/>
          <w:color w:val="auto"/>
          <w:spacing w:val="-6"/>
          <w:sz w:val="32"/>
          <w:szCs w:val="32"/>
          <w:lang w:val="en-US" w:eastAsia="zh-CN"/>
        </w:rPr>
        <w:t>、</w:t>
      </w:r>
      <w:r>
        <w:rPr>
          <w:rFonts w:hint="default" w:ascii="Times New Roman" w:hAnsi="Times New Roman" w:eastAsia="仿宋_GB2312" w:cs="Times New Roman"/>
          <w:color w:val="auto"/>
          <w:spacing w:val="-6"/>
          <w:sz w:val="32"/>
          <w:szCs w:val="32"/>
          <w:lang w:val="en-US" w:eastAsia="zh-CN"/>
        </w:rPr>
        <w:t>规范使用、效益最大化</w:t>
      </w:r>
      <w:r>
        <w:rPr>
          <w:rFonts w:hint="eastAsia" w:eastAsia="仿宋_GB2312" w:cs="Times New Roman"/>
          <w:color w:val="auto"/>
          <w:spacing w:val="-6"/>
          <w:sz w:val="32"/>
          <w:szCs w:val="32"/>
          <w:lang w:val="en-US" w:eastAsia="zh-CN"/>
        </w:rPr>
        <w:t>。</w:t>
      </w:r>
    </w:p>
    <w:p w14:paraId="67C4ED2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color w:val="auto"/>
          <w:spacing w:val="-6"/>
          <w:sz w:val="32"/>
          <w:szCs w:val="32"/>
          <w:lang w:val="en-US" w:eastAsia="zh-CN"/>
        </w:rPr>
      </w:pPr>
      <w:r>
        <w:rPr>
          <w:rFonts w:hint="eastAsia" w:ascii="楷体_GB2312" w:hAnsi="楷体_GB2312" w:eastAsia="楷体_GB2312" w:cs="楷体_GB2312"/>
          <w:color w:val="auto"/>
          <w:spacing w:val="-6"/>
          <w:sz w:val="32"/>
          <w:szCs w:val="32"/>
          <w:lang w:val="en-US" w:eastAsia="zh-CN"/>
        </w:rPr>
        <w:t>（三）加强考核管理。</w:t>
      </w:r>
      <w:r>
        <w:rPr>
          <w:rFonts w:hint="default" w:ascii="Times New Roman" w:hAnsi="Times New Roman" w:eastAsia="仿宋_GB2312" w:cs="Times New Roman"/>
          <w:color w:val="auto"/>
          <w:spacing w:val="-6"/>
          <w:sz w:val="32"/>
          <w:szCs w:val="32"/>
          <w:lang w:val="en-US" w:eastAsia="zh-CN"/>
        </w:rPr>
        <w:t xml:space="preserve">强化教育教学督导，从学校规划与执行、教师教学实践与专业引领、学生学习生态优化成效等维度开展综合考核，将结果作为评价学校办学水平、实施绩效奖励的重要依据。 </w:t>
      </w:r>
    </w:p>
    <w:sectPr>
      <w:footerReference r:id="rId3" w:type="default"/>
      <w:pgSz w:w="11906" w:h="16838"/>
      <w:pgMar w:top="2041" w:right="1474" w:bottom="1928" w:left="1474"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6BD9E0AD-CE8D-49DA-A660-EB38847741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133E419D-0A71-4F4E-BA6D-B9C2611B46CC}"/>
  </w:font>
  <w:font w:name="方正大标宋简体">
    <w:panose1 w:val="03000509000000000000"/>
    <w:charset w:val="86"/>
    <w:family w:val="auto"/>
    <w:pitch w:val="default"/>
    <w:sig w:usb0="00000001" w:usb1="080E0000" w:usb2="00000000" w:usb3="00000000" w:csb0="00040000" w:csb1="00000000"/>
    <w:embedRegular r:id="rId3" w:fontKey="{7CA94E78-CD69-4778-B12F-D10B0424178D}"/>
  </w:font>
  <w:font w:name="楷体_GB2312">
    <w:panose1 w:val="02010609030101010101"/>
    <w:charset w:val="86"/>
    <w:family w:val="auto"/>
    <w:pitch w:val="default"/>
    <w:sig w:usb0="00000001" w:usb1="080E0000" w:usb2="00000000" w:usb3="00000000" w:csb0="00040000" w:csb1="00000000"/>
    <w:embedRegular r:id="rId4" w:fontKey="{681F7C28-5272-461F-A7A9-F04226D23F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0709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63216F">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A63216F">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xZjFlOTM5NWIyZDRjOWE3MDMzMzc5ZmFiODE5ODQifQ=="/>
  </w:docVars>
  <w:rsids>
    <w:rsidRoot w:val="560022D8"/>
    <w:rsid w:val="0619721E"/>
    <w:rsid w:val="0F6C3FC5"/>
    <w:rsid w:val="12C7072D"/>
    <w:rsid w:val="13F12717"/>
    <w:rsid w:val="24676025"/>
    <w:rsid w:val="28D74DD1"/>
    <w:rsid w:val="2AE91DEA"/>
    <w:rsid w:val="2C9342C4"/>
    <w:rsid w:val="2EF22E16"/>
    <w:rsid w:val="34FD2E59"/>
    <w:rsid w:val="36886ADF"/>
    <w:rsid w:val="370C1DCF"/>
    <w:rsid w:val="381E52C0"/>
    <w:rsid w:val="3D877382"/>
    <w:rsid w:val="40274434"/>
    <w:rsid w:val="41F052D4"/>
    <w:rsid w:val="4A3D45AA"/>
    <w:rsid w:val="4F1F1039"/>
    <w:rsid w:val="51C12C1E"/>
    <w:rsid w:val="560022D8"/>
    <w:rsid w:val="58CD619A"/>
    <w:rsid w:val="5A184997"/>
    <w:rsid w:val="5A98196C"/>
    <w:rsid w:val="5B366ECB"/>
    <w:rsid w:val="5BDF576C"/>
    <w:rsid w:val="5C17389E"/>
    <w:rsid w:val="5D2B4CC7"/>
    <w:rsid w:val="5F8333DD"/>
    <w:rsid w:val="5FB719BE"/>
    <w:rsid w:val="61AF2F50"/>
    <w:rsid w:val="61DB55E8"/>
    <w:rsid w:val="620476B8"/>
    <w:rsid w:val="65E1472E"/>
    <w:rsid w:val="696B4C08"/>
    <w:rsid w:val="70310D64"/>
    <w:rsid w:val="708A7255"/>
    <w:rsid w:val="73451F95"/>
    <w:rsid w:val="743A42BA"/>
    <w:rsid w:val="78F30EFC"/>
    <w:rsid w:val="7F2731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主题词"/>
    <w:basedOn w:val="1"/>
    <w:qFormat/>
    <w:uiPriority w:val="0"/>
    <w:pPr>
      <w:autoSpaceDE w:val="0"/>
      <w:autoSpaceDN w:val="0"/>
      <w:adjustRightInd w:val="0"/>
      <w:spacing w:line="240" w:lineRule="atLeast"/>
      <w:jc w:val="left"/>
    </w:pPr>
    <w:rPr>
      <w:rFonts w:ascii="宋体"/>
      <w:b/>
      <w:snapToGrid w:val="0"/>
      <w:kern w:val="0"/>
      <w:sz w:val="32"/>
      <w:szCs w:val="20"/>
    </w:rPr>
  </w:style>
  <w:style w:type="paragraph" w:customStyle="1" w:styleId="10">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3190</Words>
  <Characters>3247</Characters>
  <Lines>0</Lines>
  <Paragraphs>0</Paragraphs>
  <TotalTime>1</TotalTime>
  <ScaleCrop>false</ScaleCrop>
  <LinksUpToDate>false</LinksUpToDate>
  <CharactersWithSpaces>3378</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2024-11-14T03:03:00Z</dcterms:created>
  <dc:creator>harveyX</dc:creator>
  <cp:lastModifiedBy>Administrator</cp:lastModifiedBy>
  <cp:lastPrinted>2025-09-23T02:25:00Z</cp:lastPrinted>
  <dcterms:modified xsi:type="dcterms:W3CDTF">2025-09-25T02:48:16Z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0D79B630DF4D457682E507C3C7982941_13</vt:lpwstr>
  </property>
  <property fmtid="{D5CDD505-2E9C-101B-9397-08002B2CF9AE}" pid="4" name="KSOTemplateDocerSaveRecord">
    <vt:lpwstr>eyJoZGlkIjoiZDQ1ZWVmOThmZTJlZDFhZWUyYzBkOWQyNTRjYTMyZTEiLCJ1c2VySWQiOiIyNjQyMjc0MDQifQ==</vt:lpwstr>
  </property>
</Properties>
</file>