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8E243">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苏州市太仓生态环境局202</w:t>
      </w:r>
      <w:r>
        <w:rPr>
          <w:rFonts w:hint="default" w:ascii="Times New Roman" w:hAnsi="Times New Roman" w:eastAsia="方正小标宋简体" w:cs="Times New Roman"/>
          <w:bCs/>
          <w:sz w:val="44"/>
          <w:szCs w:val="44"/>
          <w:lang w:val="en-US" w:eastAsia="zh-CN"/>
        </w:rPr>
        <w:t>4</w:t>
      </w:r>
      <w:r>
        <w:rPr>
          <w:rFonts w:hint="default" w:ascii="Times New Roman" w:hAnsi="Times New Roman" w:eastAsia="方正小标宋简体" w:cs="Times New Roman"/>
          <w:bCs/>
          <w:sz w:val="44"/>
          <w:szCs w:val="44"/>
        </w:rPr>
        <w:t>年政府</w:t>
      </w:r>
    </w:p>
    <w:p w14:paraId="3A0F5DF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default" w:ascii="Times New Roman" w:hAnsi="Times New Roman" w:eastAsia="方正小标宋简体" w:cs="Times New Roman"/>
          <w:bCs/>
          <w:sz w:val="44"/>
          <w:szCs w:val="44"/>
        </w:rPr>
        <w:t>信息公开工作年度报告</w:t>
      </w:r>
    </w:p>
    <w:p w14:paraId="5E7F358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3BC996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本报告</w:t>
      </w:r>
      <w:r>
        <w:rPr>
          <w:rFonts w:hint="default" w:ascii="Times New Roman" w:hAnsi="Times New Roman" w:eastAsia="仿宋_GB2312" w:cs="Times New Roman"/>
          <w:sz w:val="32"/>
          <w:szCs w:val="32"/>
        </w:rPr>
        <w:t>根据</w:t>
      </w:r>
      <w:r>
        <w:rPr>
          <w:rFonts w:hint="default" w:ascii="Times New Roman" w:hAnsi="Times New Roman" w:eastAsia="仿宋_GB2312" w:cs="Times New Roman"/>
          <w:sz w:val="32"/>
          <w:szCs w:val="32"/>
          <w:u w:val="none"/>
        </w:rPr>
        <w:t>《中华人民共和国</w:t>
      </w:r>
      <w:bookmarkStart w:id="0" w:name="_GoBack"/>
      <w:bookmarkEnd w:id="0"/>
      <w:r>
        <w:rPr>
          <w:rFonts w:hint="default" w:ascii="Times New Roman" w:hAnsi="Times New Roman" w:eastAsia="仿宋_GB2312" w:cs="Times New Roman"/>
          <w:sz w:val="32"/>
          <w:szCs w:val="32"/>
          <w:u w:val="none"/>
        </w:rPr>
        <w:t>政府信息公开条例》</w:t>
      </w:r>
      <w:r>
        <w:rPr>
          <w:rFonts w:hint="default" w:ascii="Times New Roman" w:hAnsi="Times New Roman" w:eastAsia="仿宋_GB2312" w:cs="Times New Roman"/>
          <w:sz w:val="32"/>
          <w:szCs w:val="32"/>
          <w:lang w:val="en-US" w:eastAsia="zh-CN"/>
        </w:rPr>
        <w:t>等文件要求编制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全文由总体情况、</w:t>
      </w:r>
      <w:r>
        <w:rPr>
          <w:rFonts w:hint="default" w:ascii="Times New Roman" w:hAnsi="Times New Roman" w:eastAsia="仿宋_GB2312" w:cs="Times New Roman"/>
          <w:sz w:val="32"/>
          <w:szCs w:val="32"/>
        </w:rPr>
        <w:t>主动公开政府信息情况</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政府信息公开行政复议</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行政诉讼情况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存在的主要问题及改进情况、其他需要报告的事项</w:t>
      </w: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lang w:val="en-US" w:eastAsia="zh-CN"/>
        </w:rPr>
        <w:t>个部分组成。</w:t>
      </w:r>
    </w:p>
    <w:p w14:paraId="3AAF26A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一、总体情况</w:t>
      </w:r>
    </w:p>
    <w:p w14:paraId="2151D96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太仓生态环境局</w:t>
      </w:r>
      <w:r>
        <w:rPr>
          <w:rFonts w:hint="default" w:ascii="Times New Roman" w:hAnsi="Times New Roman" w:eastAsia="仿宋_GB2312" w:cs="Times New Roman"/>
          <w:sz w:val="32"/>
          <w:szCs w:val="32"/>
          <w:highlight w:val="none"/>
          <w:lang w:val="en-US" w:eastAsia="zh-CN"/>
        </w:rPr>
        <w:t>坚持以习近平新时代中国特色社会主义思想为指导，认真学习贯彻党的二十大</w:t>
      </w:r>
      <w:r>
        <w:rPr>
          <w:rFonts w:hint="eastAsia" w:ascii="Times New Roman" w:hAnsi="Times New Roman" w:eastAsia="仿宋_GB2312" w:cs="Times New Roman"/>
          <w:sz w:val="32"/>
          <w:szCs w:val="32"/>
          <w:highlight w:val="none"/>
          <w:lang w:val="en-US" w:eastAsia="zh-CN"/>
        </w:rPr>
        <w:t>和</w:t>
      </w:r>
      <w:r>
        <w:rPr>
          <w:rFonts w:hint="default" w:ascii="Times New Roman" w:hAnsi="Times New Roman" w:eastAsia="仿宋_GB2312" w:cs="Times New Roman"/>
          <w:sz w:val="32"/>
          <w:szCs w:val="32"/>
          <w:highlight w:val="none"/>
          <w:lang w:val="en-US" w:eastAsia="zh-CN"/>
        </w:rPr>
        <w:t>二十届三中全会精神，按照市委、市政府</w:t>
      </w:r>
      <w:r>
        <w:rPr>
          <w:rFonts w:hint="eastAsia" w:ascii="Times New Roman" w:hAnsi="Times New Roman" w:eastAsia="仿宋_GB2312" w:cs="Times New Roman"/>
          <w:sz w:val="32"/>
          <w:szCs w:val="32"/>
          <w:highlight w:val="none"/>
          <w:lang w:val="en-US" w:eastAsia="zh-CN"/>
        </w:rPr>
        <w:t>和苏州市生态环境局</w:t>
      </w:r>
      <w:r>
        <w:rPr>
          <w:rFonts w:hint="default" w:ascii="Times New Roman" w:hAnsi="Times New Roman" w:eastAsia="仿宋_GB2312" w:cs="Times New Roman"/>
          <w:sz w:val="32"/>
          <w:szCs w:val="32"/>
          <w:highlight w:val="none"/>
          <w:lang w:val="en-US" w:eastAsia="zh-CN"/>
        </w:rPr>
        <w:t>的工作部署，严格落实</w:t>
      </w:r>
      <w:r>
        <w:rPr>
          <w:rFonts w:hint="default" w:ascii="Times New Roman" w:hAnsi="Times New Roman" w:eastAsia="仿宋_GB2312" w:cs="Times New Roman"/>
          <w:sz w:val="32"/>
          <w:szCs w:val="32"/>
          <w:highlight w:val="none"/>
        </w:rPr>
        <w:t>《中华人民共和国政府信息公开条例》的相关要求，主动、及时、规范公开政府信息，切实保障公民获取政府信息的知情权、参与权和监督权。</w:t>
      </w:r>
    </w:p>
    <w:p w14:paraId="49BB27ED">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highlight w:val="none"/>
        </w:rPr>
      </w:pPr>
      <w:r>
        <w:rPr>
          <w:rFonts w:hint="default" w:ascii="Times New Roman" w:hAnsi="Times New Roman" w:eastAsia="楷体" w:cs="Times New Roman"/>
          <w:sz w:val="32"/>
          <w:szCs w:val="32"/>
          <w:highlight w:val="none"/>
        </w:rPr>
        <w:t>（</w:t>
      </w:r>
      <w:r>
        <w:rPr>
          <w:rFonts w:hint="eastAsia" w:ascii="Times New Roman" w:hAnsi="Times New Roman" w:eastAsia="楷体" w:cs="Times New Roman"/>
          <w:sz w:val="32"/>
          <w:szCs w:val="32"/>
          <w:highlight w:val="none"/>
          <w:lang w:val="en-US" w:eastAsia="zh-CN"/>
        </w:rPr>
        <w:t>一</w:t>
      </w:r>
      <w:r>
        <w:rPr>
          <w:rFonts w:hint="default" w:ascii="Times New Roman" w:hAnsi="Times New Roman" w:eastAsia="楷体" w:cs="Times New Roman"/>
          <w:sz w:val="32"/>
          <w:szCs w:val="32"/>
          <w:highlight w:val="none"/>
        </w:rPr>
        <w:t>）主动公开情况</w:t>
      </w:r>
    </w:p>
    <w:p w14:paraId="5B64894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年，我局共主动公开政府信息</w:t>
      </w:r>
      <w:r>
        <w:rPr>
          <w:rFonts w:hint="default" w:ascii="Times New Roman" w:hAnsi="Times New Roman" w:eastAsia="仿宋_GB2312" w:cs="Times New Roman"/>
          <w:sz w:val="32"/>
          <w:szCs w:val="32"/>
          <w:highlight w:val="none"/>
          <w:lang w:val="en-US" w:eastAsia="zh-CN"/>
        </w:rPr>
        <w:t>272</w:t>
      </w:r>
      <w:r>
        <w:rPr>
          <w:rFonts w:hint="default" w:ascii="Times New Roman" w:hAnsi="Times New Roman" w:eastAsia="仿宋_GB2312" w:cs="Times New Roman"/>
          <w:sz w:val="32"/>
          <w:szCs w:val="32"/>
          <w:highlight w:val="none"/>
        </w:rPr>
        <w:t>条，其中环境保护</w:t>
      </w:r>
      <w:r>
        <w:rPr>
          <w:rFonts w:hint="default" w:ascii="Times New Roman" w:hAnsi="Times New Roman" w:eastAsia="仿宋_GB2312" w:cs="Times New Roman"/>
          <w:sz w:val="32"/>
          <w:szCs w:val="32"/>
          <w:highlight w:val="none"/>
          <w:lang w:val="en-US" w:eastAsia="zh-CN"/>
        </w:rPr>
        <w:t>51</w:t>
      </w:r>
      <w:r>
        <w:rPr>
          <w:rFonts w:hint="default" w:ascii="Times New Roman" w:hAnsi="Times New Roman" w:eastAsia="仿宋_GB2312" w:cs="Times New Roman"/>
          <w:sz w:val="32"/>
          <w:szCs w:val="32"/>
          <w:highlight w:val="none"/>
        </w:rPr>
        <w:t>条，公开公示</w:t>
      </w:r>
      <w:r>
        <w:rPr>
          <w:rFonts w:hint="default" w:ascii="Times New Roman" w:hAnsi="Times New Roman" w:eastAsia="仿宋_GB2312" w:cs="Times New Roman"/>
          <w:sz w:val="32"/>
          <w:szCs w:val="32"/>
          <w:highlight w:val="none"/>
          <w:lang w:val="en-US" w:eastAsia="zh-CN"/>
        </w:rPr>
        <w:t>221</w:t>
      </w:r>
      <w:r>
        <w:rPr>
          <w:rFonts w:hint="default" w:ascii="Times New Roman" w:hAnsi="Times New Roman" w:eastAsia="仿宋_GB2312" w:cs="Times New Roman"/>
          <w:sz w:val="32"/>
          <w:szCs w:val="32"/>
          <w:highlight w:val="none"/>
        </w:rPr>
        <w:t>条，涉及环境监测、固废辐射、环保行政处罚等各类信息。</w:t>
      </w:r>
    </w:p>
    <w:p w14:paraId="2B3F851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z w:val="32"/>
          <w:szCs w:val="32"/>
          <w:highlight w:val="none"/>
        </w:rPr>
      </w:pPr>
      <w:r>
        <w:rPr>
          <w:rFonts w:hint="default" w:ascii="Times New Roman" w:hAnsi="Times New Roman" w:eastAsia="楷体" w:cs="Times New Roman"/>
          <w:sz w:val="32"/>
          <w:szCs w:val="32"/>
          <w:highlight w:val="none"/>
        </w:rPr>
        <w:t>（</w:t>
      </w:r>
      <w:r>
        <w:rPr>
          <w:rFonts w:hint="eastAsia" w:ascii="Times New Roman" w:hAnsi="Times New Roman" w:eastAsia="楷体" w:cs="Times New Roman"/>
          <w:sz w:val="32"/>
          <w:szCs w:val="32"/>
          <w:highlight w:val="none"/>
          <w:lang w:val="en-US" w:eastAsia="zh-CN"/>
        </w:rPr>
        <w:t>二</w:t>
      </w:r>
      <w:r>
        <w:rPr>
          <w:rFonts w:hint="default" w:ascii="Times New Roman" w:hAnsi="Times New Roman" w:eastAsia="楷体" w:cs="Times New Roman"/>
          <w:sz w:val="32"/>
          <w:szCs w:val="32"/>
          <w:highlight w:val="none"/>
        </w:rPr>
        <w:t>）平台建设情况</w:t>
      </w:r>
    </w:p>
    <w:p w14:paraId="0010493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在太仓市人民政府门户网站栏目，定期更新“环境保护”、“</w:t>
      </w:r>
      <w:r>
        <w:rPr>
          <w:rFonts w:hint="default" w:ascii="Times New Roman" w:hAnsi="Times New Roman" w:eastAsia="仿宋_GB2312" w:cs="Times New Roman"/>
          <w:sz w:val="32"/>
          <w:szCs w:val="32"/>
          <w:highlight w:val="none"/>
          <w:lang w:val="en-US" w:eastAsia="zh-CN"/>
        </w:rPr>
        <w:t>公示公告</w:t>
      </w:r>
      <w:r>
        <w:rPr>
          <w:rFonts w:hint="default" w:ascii="Times New Roman" w:hAnsi="Times New Roman" w:eastAsia="仿宋_GB2312" w:cs="Times New Roman"/>
          <w:sz w:val="32"/>
          <w:szCs w:val="32"/>
          <w:highlight w:val="none"/>
        </w:rPr>
        <w:t>”栏目内容，方便群众及时了解生态环境保护工作推进情况。</w:t>
      </w:r>
      <w:r>
        <w:rPr>
          <w:rFonts w:hint="eastAsia" w:ascii="Times New Roman" w:hAnsi="Times New Roman" w:eastAsia="仿宋_GB2312" w:cs="Times New Roman"/>
          <w:sz w:val="32"/>
          <w:szCs w:val="32"/>
          <w:highlight w:val="none"/>
          <w:lang w:val="en-US" w:eastAsia="zh-CN"/>
        </w:rPr>
        <w:t>利用好新媒体平台，</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年“太仓治污攻坚”全年共推送各类信息</w:t>
      </w:r>
      <w:r>
        <w:rPr>
          <w:rFonts w:hint="default" w:ascii="Times New Roman" w:hAnsi="Times New Roman" w:eastAsia="仿宋_GB2312" w:cs="Times New Roman"/>
          <w:sz w:val="32"/>
          <w:szCs w:val="32"/>
          <w:highlight w:val="none"/>
          <w:lang w:val="en-US" w:eastAsia="zh-CN"/>
        </w:rPr>
        <w:t>462</w:t>
      </w:r>
      <w:r>
        <w:rPr>
          <w:rFonts w:hint="default" w:ascii="Times New Roman" w:hAnsi="Times New Roman" w:eastAsia="仿宋_GB2312" w:cs="Times New Roman"/>
          <w:sz w:val="32"/>
          <w:szCs w:val="32"/>
          <w:highlight w:val="none"/>
        </w:rPr>
        <w:t>条。</w:t>
      </w:r>
    </w:p>
    <w:p w14:paraId="0ADA01D7">
      <w:pPr>
        <w:pStyle w:val="1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sz w:val="32"/>
          <w:szCs w:val="32"/>
          <w:highlight w:val="none"/>
        </w:rPr>
      </w:pPr>
      <w:r>
        <w:rPr>
          <w:rFonts w:hint="eastAsia" w:ascii="Times New Roman" w:hAnsi="Times New Roman" w:eastAsia="楷体" w:cs="Times New Roman"/>
          <w:sz w:val="32"/>
          <w:szCs w:val="32"/>
          <w:highlight w:val="none"/>
          <w:lang w:eastAsia="zh-CN"/>
        </w:rPr>
        <w:t>（</w:t>
      </w:r>
      <w:r>
        <w:rPr>
          <w:rFonts w:hint="eastAsia" w:ascii="Times New Roman" w:hAnsi="Times New Roman" w:eastAsia="楷体" w:cs="Times New Roman"/>
          <w:sz w:val="32"/>
          <w:szCs w:val="32"/>
          <w:highlight w:val="none"/>
          <w:lang w:val="en-US" w:eastAsia="zh-CN"/>
        </w:rPr>
        <w:t>三</w:t>
      </w:r>
      <w:r>
        <w:rPr>
          <w:rFonts w:hint="eastAsia" w:ascii="Times New Roman" w:hAnsi="Times New Roman" w:eastAsia="楷体" w:cs="Times New Roman"/>
          <w:sz w:val="32"/>
          <w:szCs w:val="32"/>
          <w:highlight w:val="none"/>
          <w:lang w:eastAsia="zh-CN"/>
        </w:rPr>
        <w:t>）</w:t>
      </w:r>
      <w:r>
        <w:rPr>
          <w:rFonts w:hint="default" w:ascii="Times New Roman" w:hAnsi="Times New Roman" w:eastAsia="楷体" w:cs="Times New Roman"/>
          <w:sz w:val="32"/>
          <w:szCs w:val="32"/>
          <w:highlight w:val="none"/>
        </w:rPr>
        <w:t>政府信息管理情况</w:t>
      </w:r>
    </w:p>
    <w:p w14:paraId="66ED916F">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楷体" w:cs="Times New Roman"/>
          <w:sz w:val="32"/>
          <w:szCs w:val="32"/>
          <w:highlight w:val="none"/>
        </w:rPr>
        <w:t xml:space="preserve">  </w:t>
      </w: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b/>
          <w:sz w:val="32"/>
          <w:szCs w:val="32"/>
          <w:highlight w:val="none"/>
        </w:rPr>
        <w:t xml:space="preserve"> 一</w:t>
      </w:r>
      <w:r>
        <w:rPr>
          <w:rFonts w:hint="default" w:ascii="Times New Roman" w:hAnsi="Times New Roman" w:eastAsia="仿宋_GB2312" w:cs="Times New Roman"/>
          <w:b/>
          <w:sz w:val="32"/>
          <w:szCs w:val="32"/>
          <w:highlight w:val="none"/>
          <w:lang w:val="en-US" w:eastAsia="zh-CN"/>
        </w:rPr>
        <w:t>方面规范政府信息管理。</w:t>
      </w:r>
      <w:r>
        <w:rPr>
          <w:rFonts w:hint="default" w:ascii="Times New Roman" w:hAnsi="Times New Roman" w:eastAsia="仿宋_GB2312" w:cs="Times New Roman"/>
          <w:sz w:val="32"/>
          <w:szCs w:val="32"/>
          <w:lang w:val="en-US" w:eastAsia="zh-CN"/>
        </w:rPr>
        <w:t>开展规范性文件清理工作，</w:t>
      </w:r>
      <w:r>
        <w:rPr>
          <w:rFonts w:hint="default" w:ascii="Times New Roman" w:hAnsi="Times New Roman" w:eastAsia="仿宋_GB2312" w:cs="Times New Roman"/>
          <w:sz w:val="32"/>
          <w:szCs w:val="32"/>
        </w:rPr>
        <w:t>按照“谁制定谁清理”“谁实施谁清理”的原则，重点清理与现行法律、法规、规章、公平竞争政策、营商环境政策、经济政策等规定相抵触或不适应的行政规范性文件。</w:t>
      </w:r>
      <w:r>
        <w:rPr>
          <w:rFonts w:hint="default" w:ascii="Times New Roman" w:hAnsi="Times New Roman" w:eastAsia="仿宋_GB2312" w:cs="Times New Roman"/>
          <w:b/>
          <w:sz w:val="32"/>
          <w:szCs w:val="32"/>
          <w:highlight w:val="none"/>
          <w:lang w:val="en-US" w:eastAsia="zh-CN"/>
        </w:rPr>
        <w:t>另一方面是规范政府信息流程。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制定</w:t>
      </w:r>
      <w:r>
        <w:rPr>
          <w:rFonts w:hint="default" w:ascii="Times New Roman" w:hAnsi="Times New Roman" w:eastAsia="仿宋_GB2312" w:cs="Times New Roman"/>
          <w:color w:val="000000" w:themeColor="text1"/>
          <w:sz w:val="32"/>
          <w:szCs w:val="32"/>
          <w14:textFill>
            <w14:solidFill>
              <w14:schemeClr w14:val="tx1"/>
            </w14:solidFill>
          </w14:textFill>
        </w:rPr>
        <w:t>苏州市太仓生态环境局环境新闻管理制度</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进一步完善政府信息保密审查、</w:t>
      </w:r>
      <w:r>
        <w:rPr>
          <w:rFonts w:hint="default" w:ascii="Times New Roman" w:hAnsi="Times New Roman" w:eastAsia="仿宋_GB2312" w:cs="Times New Roman"/>
          <w:color w:val="000000" w:themeColor="text1"/>
          <w:sz w:val="32"/>
          <w:szCs w:val="32"/>
          <w14:textFill>
            <w14:solidFill>
              <w14:schemeClr w14:val="tx1"/>
            </w14:solidFill>
          </w14:textFill>
        </w:rPr>
        <w:t>政府网站和政务新媒体信息发布审核机制，切实把好政治关、政策关、内容关。全年无一例政府信息公开失密、泄密事件发生。坚持“公开为常态、不公开为例外”原则，制定局系统主动公开事项目录，规范做好政府信息公开、依申请公开答复、行政许可和行政处罚等信用信息公示等工作</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14:paraId="4B129BAD">
      <w:pPr>
        <w:pStyle w:val="3"/>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sz w:val="32"/>
          <w:szCs w:val="32"/>
          <w:highlight w:val="none"/>
        </w:rPr>
      </w:pPr>
      <w:r>
        <w:rPr>
          <w:rFonts w:hint="default" w:ascii="Times New Roman" w:hAnsi="Times New Roman" w:eastAsia="楷体" w:cs="Times New Roman"/>
          <w:sz w:val="32"/>
          <w:szCs w:val="32"/>
          <w:highlight w:val="none"/>
        </w:rPr>
        <w:t>（四）监督保障情况</w:t>
      </w:r>
    </w:p>
    <w:p w14:paraId="4342AA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_GB2312" w:cs="Times New Roman"/>
          <w:b w:val="0"/>
          <w:bCs w:val="0"/>
          <w:kern w:val="2"/>
          <w:sz w:val="32"/>
          <w:szCs w:val="32"/>
          <w:highlight w:val="none"/>
          <w:lang w:val="en-US" w:eastAsia="zh-CN" w:bidi="ar-SA"/>
        </w:rPr>
        <w:t>加强网站内容的监督保障，日常对发布内容开展巡查、发现问题及时督促整改，确保信息公开准确、及时、规范。强化业务培训，组织政府信息相关工作人员全员参与、全覆盖学习，促进信息公开工作水平全面提升。深化公众参与，召开持续深入打好污防攻坚战，全力推进生态绿色发展新闻发布会，将信息及时、准确传递到社会各群体。</w:t>
      </w:r>
    </w:p>
    <w:p w14:paraId="22C3303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黑体" w:cs="Times New Roman"/>
          <w:sz w:val="32"/>
          <w:szCs w:val="32"/>
        </w:rPr>
        <w:t>二、主动公开政府信息情况</w:t>
      </w:r>
    </w:p>
    <w:tbl>
      <w:tblPr>
        <w:tblStyle w:val="9"/>
        <w:tblpPr w:leftFromText="180" w:rightFromText="180" w:vertAnchor="text" w:horzAnchor="page" w:tblpX="1700" w:tblpY="607"/>
        <w:tblOverlap w:val="never"/>
        <w:tblW w:w="8722" w:type="dxa"/>
        <w:tblInd w:w="0" w:type="dxa"/>
        <w:tblLayout w:type="autofit"/>
        <w:tblCellMar>
          <w:top w:w="0" w:type="dxa"/>
          <w:left w:w="0" w:type="dxa"/>
          <w:bottom w:w="0" w:type="dxa"/>
          <w:right w:w="0" w:type="dxa"/>
        </w:tblCellMar>
      </w:tblPr>
      <w:tblGrid>
        <w:gridCol w:w="2435"/>
        <w:gridCol w:w="2435"/>
        <w:gridCol w:w="2435"/>
        <w:gridCol w:w="1417"/>
      </w:tblGrid>
      <w:tr w14:paraId="4FFFD2E2">
        <w:tblPrEx>
          <w:tblCellMar>
            <w:top w:w="0" w:type="dxa"/>
            <w:left w:w="0" w:type="dxa"/>
            <w:bottom w:w="0" w:type="dxa"/>
            <w:right w:w="0" w:type="dxa"/>
          </w:tblCellMar>
        </w:tblPrEx>
        <w:trPr>
          <w:trHeight w:val="340" w:hRule="atLeast"/>
        </w:trPr>
        <w:tc>
          <w:tcPr>
            <w:tcW w:w="8722" w:type="dxa"/>
            <w:gridSpan w:val="4"/>
            <w:tcBorders>
              <w:top w:val="single" w:color="auto" w:sz="8" w:space="0"/>
              <w:left w:val="single" w:color="auto" w:sz="8" w:space="0"/>
              <w:bottom w:val="single" w:color="auto" w:sz="4" w:space="0"/>
              <w:right w:val="single" w:color="auto" w:sz="8" w:space="0"/>
            </w:tcBorders>
            <w:shd w:val="clear" w:color="auto" w:fill="C6D9F1"/>
            <w:tcMar>
              <w:top w:w="0" w:type="dxa"/>
              <w:left w:w="57" w:type="dxa"/>
              <w:bottom w:w="0" w:type="dxa"/>
              <w:right w:w="57" w:type="dxa"/>
            </w:tcMar>
            <w:vAlign w:val="center"/>
          </w:tcPr>
          <w:p w14:paraId="5100A4A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第二十条第（一）项</w:t>
            </w:r>
          </w:p>
        </w:tc>
      </w:tr>
      <w:tr w14:paraId="1D77C421">
        <w:tblPrEx>
          <w:tblCellMar>
            <w:top w:w="0" w:type="dxa"/>
            <w:left w:w="0" w:type="dxa"/>
            <w:bottom w:w="0" w:type="dxa"/>
            <w:right w:w="0" w:type="dxa"/>
          </w:tblCellMar>
        </w:tblPrEx>
        <w:trPr>
          <w:trHeight w:val="340" w:hRule="atLeast"/>
        </w:trPr>
        <w:tc>
          <w:tcPr>
            <w:tcW w:w="2435" w:type="dxa"/>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428C475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信息内容</w:t>
            </w:r>
          </w:p>
        </w:tc>
        <w:tc>
          <w:tcPr>
            <w:tcW w:w="2435" w:type="dxa"/>
            <w:tcBorders>
              <w:top w:val="single" w:color="auto" w:sz="4" w:space="0"/>
              <w:left w:val="nil"/>
              <w:bottom w:val="single" w:color="auto" w:sz="4" w:space="0"/>
              <w:right w:val="single" w:color="auto" w:sz="8" w:space="0"/>
            </w:tcBorders>
            <w:tcMar>
              <w:top w:w="0" w:type="dxa"/>
              <w:left w:w="57" w:type="dxa"/>
              <w:bottom w:w="0" w:type="dxa"/>
              <w:right w:w="57" w:type="dxa"/>
            </w:tcMar>
            <w:vAlign w:val="center"/>
          </w:tcPr>
          <w:p w14:paraId="538E0ED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本年</w:t>
            </w:r>
            <w:r>
              <w:rPr>
                <w:rFonts w:hint="default" w:ascii="Times New Roman" w:hAnsi="Times New Roman" w:eastAsia="宋体" w:cs="Times New Roman"/>
                <w:kern w:val="0"/>
                <w:sz w:val="20"/>
                <w:szCs w:val="20"/>
              </w:rPr>
              <w:t>制发件数</w:t>
            </w:r>
          </w:p>
        </w:tc>
        <w:tc>
          <w:tcPr>
            <w:tcW w:w="2435" w:type="dxa"/>
            <w:tcBorders>
              <w:top w:val="single" w:color="auto" w:sz="4" w:space="0"/>
              <w:left w:val="nil"/>
              <w:bottom w:val="single" w:color="auto" w:sz="4" w:space="0"/>
              <w:right w:val="single" w:color="auto" w:sz="8" w:space="0"/>
            </w:tcBorders>
            <w:tcMar>
              <w:top w:w="0" w:type="dxa"/>
              <w:left w:w="57" w:type="dxa"/>
              <w:bottom w:w="0" w:type="dxa"/>
              <w:right w:w="57" w:type="dxa"/>
            </w:tcMar>
            <w:vAlign w:val="center"/>
          </w:tcPr>
          <w:p w14:paraId="589B933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本年废止件数</w:t>
            </w:r>
          </w:p>
        </w:tc>
        <w:tc>
          <w:tcPr>
            <w:tcW w:w="1417" w:type="dxa"/>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1617947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现行有效件</w:t>
            </w:r>
            <w:r>
              <w:rPr>
                <w:rFonts w:hint="default" w:ascii="Times New Roman" w:hAnsi="Times New Roman" w:eastAsia="宋体" w:cs="Times New Roman"/>
                <w:kern w:val="0"/>
                <w:sz w:val="20"/>
                <w:szCs w:val="20"/>
              </w:rPr>
              <w:t>数</w:t>
            </w:r>
          </w:p>
        </w:tc>
      </w:tr>
      <w:tr w14:paraId="073199F8">
        <w:tblPrEx>
          <w:tblCellMar>
            <w:top w:w="0" w:type="dxa"/>
            <w:left w:w="0" w:type="dxa"/>
            <w:bottom w:w="0" w:type="dxa"/>
            <w:right w:w="0" w:type="dxa"/>
          </w:tblCellMar>
        </w:tblPrEx>
        <w:trPr>
          <w:trHeight w:val="340" w:hRule="atLeast"/>
        </w:trPr>
        <w:tc>
          <w:tcPr>
            <w:tcW w:w="2435" w:type="dxa"/>
            <w:tcBorders>
              <w:top w:val="single" w:color="auto" w:sz="4" w:space="0"/>
              <w:left w:val="single" w:color="auto" w:sz="8" w:space="0"/>
              <w:bottom w:val="single" w:color="auto" w:sz="8" w:space="0"/>
              <w:right w:val="single" w:color="auto" w:sz="8" w:space="0"/>
            </w:tcBorders>
            <w:tcMar>
              <w:top w:w="0" w:type="dxa"/>
              <w:left w:w="57" w:type="dxa"/>
              <w:bottom w:w="0" w:type="dxa"/>
              <w:right w:w="57" w:type="dxa"/>
            </w:tcMar>
            <w:vAlign w:val="center"/>
          </w:tcPr>
          <w:p w14:paraId="3CB2EA0C">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规章</w:t>
            </w:r>
          </w:p>
        </w:tc>
        <w:tc>
          <w:tcPr>
            <w:tcW w:w="2435" w:type="dxa"/>
            <w:tcBorders>
              <w:top w:val="single" w:color="auto" w:sz="4" w:space="0"/>
              <w:left w:val="nil"/>
              <w:bottom w:val="single" w:color="auto" w:sz="8" w:space="0"/>
              <w:right w:val="single" w:color="auto" w:sz="8" w:space="0"/>
            </w:tcBorders>
            <w:tcMar>
              <w:top w:w="0" w:type="dxa"/>
              <w:left w:w="57" w:type="dxa"/>
              <w:bottom w:w="0" w:type="dxa"/>
              <w:right w:w="57" w:type="dxa"/>
            </w:tcMar>
            <w:vAlign w:val="center"/>
          </w:tcPr>
          <w:p w14:paraId="1E79852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c>
          <w:tcPr>
            <w:tcW w:w="2435" w:type="dxa"/>
            <w:tcBorders>
              <w:top w:val="single" w:color="auto" w:sz="4" w:space="0"/>
              <w:left w:val="nil"/>
              <w:bottom w:val="single" w:color="auto" w:sz="8" w:space="0"/>
              <w:right w:val="single" w:color="auto" w:sz="8" w:space="0"/>
            </w:tcBorders>
            <w:tcMar>
              <w:top w:w="0" w:type="dxa"/>
              <w:left w:w="57" w:type="dxa"/>
              <w:bottom w:w="0" w:type="dxa"/>
              <w:right w:w="57" w:type="dxa"/>
            </w:tcMar>
            <w:vAlign w:val="center"/>
          </w:tcPr>
          <w:p w14:paraId="5E3A33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c>
          <w:tcPr>
            <w:tcW w:w="1417" w:type="dxa"/>
            <w:tcBorders>
              <w:top w:val="single" w:color="auto" w:sz="4" w:space="0"/>
              <w:left w:val="nil"/>
              <w:bottom w:val="single" w:color="auto" w:sz="8" w:space="0"/>
              <w:right w:val="single" w:color="auto" w:sz="8" w:space="0"/>
            </w:tcBorders>
            <w:tcMar>
              <w:top w:w="0" w:type="dxa"/>
              <w:left w:w="57" w:type="dxa"/>
              <w:bottom w:w="0" w:type="dxa"/>
              <w:right w:w="57" w:type="dxa"/>
            </w:tcMar>
            <w:vAlign w:val="center"/>
          </w:tcPr>
          <w:p w14:paraId="7A980B0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Cs w:val="21"/>
              </w:rPr>
              <w:t>0</w:t>
            </w:r>
          </w:p>
        </w:tc>
      </w:tr>
      <w:tr w14:paraId="2F734B0D">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55D52F4">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5D0D2F0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BFD282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c>
          <w:tcPr>
            <w:tcW w:w="1417" w:type="dxa"/>
            <w:tcBorders>
              <w:top w:val="nil"/>
              <w:left w:val="nil"/>
              <w:bottom w:val="single" w:color="auto" w:sz="8" w:space="0"/>
              <w:right w:val="single" w:color="auto" w:sz="8" w:space="0"/>
            </w:tcBorders>
            <w:tcMar>
              <w:top w:w="0" w:type="dxa"/>
              <w:left w:w="57" w:type="dxa"/>
              <w:bottom w:w="0" w:type="dxa"/>
              <w:right w:w="57" w:type="dxa"/>
            </w:tcMar>
            <w:vAlign w:val="center"/>
          </w:tcPr>
          <w:p w14:paraId="7E78704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r>
      <w:tr w14:paraId="19409E30">
        <w:tblPrEx>
          <w:tblCellMar>
            <w:top w:w="0" w:type="dxa"/>
            <w:left w:w="0" w:type="dxa"/>
            <w:bottom w:w="0" w:type="dxa"/>
            <w:right w:w="0" w:type="dxa"/>
          </w:tblCellMar>
        </w:tblPrEx>
        <w:trPr>
          <w:trHeight w:val="340" w:hRule="atLeast"/>
        </w:trPr>
        <w:tc>
          <w:tcPr>
            <w:tcW w:w="87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4EE3294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第二十条第（五）项</w:t>
            </w:r>
          </w:p>
        </w:tc>
      </w:tr>
      <w:tr w14:paraId="00705CC6">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F32162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信息内容</w:t>
            </w:r>
          </w:p>
        </w:tc>
        <w:tc>
          <w:tcPr>
            <w:tcW w:w="6287"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075E5BC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本年处理决定数量</w:t>
            </w:r>
          </w:p>
        </w:tc>
      </w:tr>
      <w:tr w14:paraId="59D29340">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04D4574">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行政许可</w:t>
            </w:r>
          </w:p>
        </w:tc>
        <w:tc>
          <w:tcPr>
            <w:tcW w:w="6287"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2CAAE48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lang w:val="en-US" w:eastAsia="zh-CN"/>
              </w:rPr>
            </w:pPr>
            <w:r>
              <w:rPr>
                <w:rFonts w:hint="default" w:ascii="Times New Roman" w:hAnsi="Times New Roman" w:eastAsia="宋体" w:cs="Times New Roman"/>
                <w:color w:val="000000"/>
                <w:kern w:val="0"/>
                <w:sz w:val="20"/>
                <w:szCs w:val="20"/>
                <w:highlight w:val="none"/>
                <w:lang w:val="en-US" w:eastAsia="zh-CN"/>
              </w:rPr>
              <w:t>171</w:t>
            </w:r>
          </w:p>
        </w:tc>
      </w:tr>
      <w:tr w14:paraId="6BD13B49">
        <w:tblPrEx>
          <w:tblCellMar>
            <w:top w:w="0" w:type="dxa"/>
            <w:left w:w="0" w:type="dxa"/>
            <w:bottom w:w="0" w:type="dxa"/>
            <w:right w:w="0" w:type="dxa"/>
          </w:tblCellMar>
        </w:tblPrEx>
        <w:trPr>
          <w:trHeight w:val="340" w:hRule="atLeast"/>
        </w:trPr>
        <w:tc>
          <w:tcPr>
            <w:tcW w:w="87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5069609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第二十条第（六）项</w:t>
            </w:r>
          </w:p>
        </w:tc>
      </w:tr>
      <w:tr w14:paraId="1C0D8DD5">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D045F7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信息内容</w:t>
            </w:r>
          </w:p>
        </w:tc>
        <w:tc>
          <w:tcPr>
            <w:tcW w:w="6287"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AC8B65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本年处理决定数量</w:t>
            </w:r>
          </w:p>
        </w:tc>
      </w:tr>
      <w:tr w14:paraId="22B076BB">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AEAB754">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行政处罚</w:t>
            </w:r>
          </w:p>
        </w:tc>
        <w:tc>
          <w:tcPr>
            <w:tcW w:w="6287"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21B96F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lang w:val="en-US" w:eastAsia="zh-CN"/>
              </w:rPr>
            </w:pPr>
            <w:r>
              <w:rPr>
                <w:rFonts w:hint="default" w:ascii="Times New Roman" w:hAnsi="Times New Roman" w:eastAsia="宋体" w:cs="Times New Roman"/>
                <w:color w:val="000000"/>
                <w:kern w:val="0"/>
                <w:sz w:val="20"/>
                <w:szCs w:val="20"/>
                <w:lang w:val="en-US" w:eastAsia="zh-CN"/>
              </w:rPr>
              <w:t>70</w:t>
            </w:r>
          </w:p>
        </w:tc>
      </w:tr>
      <w:tr w14:paraId="2E47B92E">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BCCFDEB">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行政强制</w:t>
            </w:r>
          </w:p>
        </w:tc>
        <w:tc>
          <w:tcPr>
            <w:tcW w:w="6287"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370883B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lang w:eastAsia="zh-CN"/>
              </w:rPr>
            </w:pPr>
            <w:r>
              <w:rPr>
                <w:rFonts w:hint="default" w:ascii="Times New Roman" w:hAnsi="Times New Roman" w:eastAsia="宋体" w:cs="Times New Roman"/>
                <w:color w:val="000000"/>
                <w:kern w:val="0"/>
                <w:sz w:val="20"/>
                <w:szCs w:val="20"/>
                <w:lang w:val="en-US" w:eastAsia="zh-CN"/>
              </w:rPr>
              <w:t>2</w:t>
            </w:r>
          </w:p>
        </w:tc>
      </w:tr>
      <w:tr w14:paraId="7463CA14">
        <w:tblPrEx>
          <w:tblCellMar>
            <w:top w:w="0" w:type="dxa"/>
            <w:left w:w="0" w:type="dxa"/>
            <w:bottom w:w="0" w:type="dxa"/>
            <w:right w:w="0" w:type="dxa"/>
          </w:tblCellMar>
        </w:tblPrEx>
        <w:trPr>
          <w:trHeight w:val="340" w:hRule="atLeast"/>
        </w:trPr>
        <w:tc>
          <w:tcPr>
            <w:tcW w:w="87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93393C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第二十条第（八）项</w:t>
            </w:r>
          </w:p>
        </w:tc>
      </w:tr>
      <w:tr w14:paraId="75535017">
        <w:tblPrEx>
          <w:tblCellMar>
            <w:top w:w="0" w:type="dxa"/>
            <w:left w:w="0" w:type="dxa"/>
            <w:bottom w:w="0" w:type="dxa"/>
            <w:right w:w="0" w:type="dxa"/>
          </w:tblCellMar>
        </w:tblPrEx>
        <w:trPr>
          <w:trHeight w:val="340" w:hRule="atLeast"/>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468A87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信息内容</w:t>
            </w:r>
          </w:p>
        </w:tc>
        <w:tc>
          <w:tcPr>
            <w:tcW w:w="6287"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02C5D5B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本年收费金额（单位：万元）</w:t>
            </w:r>
          </w:p>
        </w:tc>
      </w:tr>
      <w:tr w14:paraId="467D9138">
        <w:tblPrEx>
          <w:tblCellMar>
            <w:top w:w="0" w:type="dxa"/>
            <w:left w:w="0" w:type="dxa"/>
            <w:bottom w:w="0" w:type="dxa"/>
            <w:right w:w="0" w:type="dxa"/>
          </w:tblCellMar>
        </w:tblPrEx>
        <w:trPr>
          <w:trHeight w:val="340" w:hRule="atLeast"/>
        </w:trPr>
        <w:tc>
          <w:tcPr>
            <w:tcW w:w="2435" w:type="dxa"/>
            <w:tcBorders>
              <w:top w:val="single" w:color="auto" w:sz="8" w:space="0"/>
              <w:left w:val="single" w:color="auto" w:sz="8" w:space="0"/>
              <w:bottom w:val="single" w:color="auto" w:sz="4" w:space="0"/>
              <w:right w:val="single" w:color="auto" w:sz="8" w:space="0"/>
            </w:tcBorders>
            <w:tcMar>
              <w:top w:w="0" w:type="dxa"/>
              <w:left w:w="57" w:type="dxa"/>
              <w:bottom w:w="0" w:type="dxa"/>
              <w:right w:w="57" w:type="dxa"/>
            </w:tcMar>
            <w:vAlign w:val="center"/>
          </w:tcPr>
          <w:p w14:paraId="6D41B1D2">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行政事业性收费</w:t>
            </w:r>
          </w:p>
        </w:tc>
        <w:tc>
          <w:tcPr>
            <w:tcW w:w="6287" w:type="dxa"/>
            <w:gridSpan w:val="3"/>
            <w:tcBorders>
              <w:top w:val="single" w:color="auto" w:sz="8" w:space="0"/>
              <w:left w:val="nil"/>
              <w:bottom w:val="single" w:color="auto" w:sz="4" w:space="0"/>
              <w:right w:val="single" w:color="000000" w:sz="8" w:space="0"/>
            </w:tcBorders>
            <w:tcMar>
              <w:top w:w="0" w:type="dxa"/>
              <w:left w:w="57" w:type="dxa"/>
              <w:bottom w:w="0" w:type="dxa"/>
              <w:right w:w="57" w:type="dxa"/>
            </w:tcMar>
            <w:vAlign w:val="center"/>
          </w:tcPr>
          <w:p w14:paraId="5C4EF5C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0</w:t>
            </w:r>
          </w:p>
        </w:tc>
      </w:tr>
    </w:tbl>
    <w:p w14:paraId="087C35A6">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rPr>
      </w:pPr>
    </w:p>
    <w:p w14:paraId="5CB5F29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三、政府信息公开行政复议、行政诉讼情况</w:t>
      </w:r>
    </w:p>
    <w:tbl>
      <w:tblPr>
        <w:tblStyle w:val="9"/>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DD681E1">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62B25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68C4F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行政诉讼</w:t>
            </w:r>
          </w:p>
        </w:tc>
      </w:tr>
      <w:tr w14:paraId="13A71736">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0BE96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BFDDBA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14:paraId="1020BFD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BA2AB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其他</w:t>
            </w:r>
          </w:p>
          <w:p w14:paraId="7390433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995D66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14:paraId="3F63FD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2FB631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551CB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D7F08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复议后起诉</w:t>
            </w:r>
          </w:p>
        </w:tc>
      </w:tr>
      <w:tr w14:paraId="7238F25B">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B37105A">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p>
        </w:tc>
        <w:tc>
          <w:tcPr>
            <w:tcW w:w="0" w:type="auto"/>
            <w:vMerge w:val="continue"/>
            <w:tcBorders>
              <w:top w:val="nil"/>
              <w:left w:val="single" w:color="auto" w:sz="8" w:space="0"/>
              <w:bottom w:val="single" w:color="auto" w:sz="8" w:space="0"/>
              <w:right w:val="single" w:color="auto" w:sz="8" w:space="0"/>
            </w:tcBorders>
            <w:vAlign w:val="center"/>
          </w:tcPr>
          <w:p w14:paraId="50D2C65A">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23A2AA8">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04A13B6">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3591BD5">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94ABE0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14:paraId="29CAA0E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2FEA2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14:paraId="3BBA754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DB66E9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其他</w:t>
            </w:r>
          </w:p>
          <w:p w14:paraId="0BBAA11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3F756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14:paraId="5C9827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F122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28085E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14:paraId="43F0315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AB8B3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14:paraId="622C836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0C8B8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其他</w:t>
            </w:r>
          </w:p>
          <w:p w14:paraId="0F5053A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425F7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14:paraId="5949F37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45B31E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kern w:val="0"/>
                <w:sz w:val="20"/>
                <w:szCs w:val="20"/>
              </w:rPr>
              <w:t>总计</w:t>
            </w:r>
          </w:p>
        </w:tc>
      </w:tr>
      <w:tr w14:paraId="6797A92C">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43924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198CC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1D2E0C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97123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1A33D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FECAD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11367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24E51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79D12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D0B90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FFF1A7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0 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5C8578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3A8CFD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927057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0"/>
                <w:szCs w:val="20"/>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45FEE9">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0</w:t>
            </w:r>
          </w:p>
        </w:tc>
      </w:tr>
    </w:tbl>
    <w:p w14:paraId="02C676D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四、存在的主要问题及改进情况</w:t>
      </w:r>
    </w:p>
    <w:p w14:paraId="57C48C9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年，我局政府信息公开工作取得了一定成效，但仍然存在一些不足：一是公开的形式普遍比较单一，公开内容覆盖不全面；二是政策宣传解读的针对性、实效性需进一步加强等问题。</w:t>
      </w:r>
      <w:r>
        <w:rPr>
          <w:rFonts w:hint="default" w:ascii="Times New Roman" w:hAnsi="Times New Roman" w:eastAsia="仿宋_GB2312" w:cs="Times New Roman"/>
          <w:sz w:val="32"/>
          <w:szCs w:val="32"/>
          <w:highlight w:val="none"/>
          <w:lang w:val="en-US" w:eastAsia="zh-CN"/>
        </w:rPr>
        <w:t xml:space="preserve"> </w:t>
      </w:r>
    </w:p>
    <w:p w14:paraId="1E80F1A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jc w:val="both"/>
        <w:textAlignment w:val="auto"/>
        <w:rPr>
          <w:rFonts w:hint="default" w:ascii="Times New Roman" w:hAnsi="Times New Roman" w:eastAsia="仿宋_GB2312" w:cs="Times New Roman"/>
          <w:i w:val="0"/>
          <w:iCs w:val="0"/>
          <w:caps w:val="0"/>
          <w:color w:val="000000"/>
          <w:spacing w:val="0"/>
          <w:sz w:val="32"/>
          <w:szCs w:val="32"/>
          <w:highlight w:val="none"/>
          <w:shd w:val="clear" w:fill="FFFFFF"/>
        </w:rPr>
      </w:pP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年，我局将继续坚持以习近平新时代中国特色社会主义思想和党的二十大精神为指引，深入贯彻党中央、国务院关于新时代政务公开工作的决策部署，准确把握政务公开工作面临的新形势新任务新要求，进一步增强工作的主动性、创造性。建立和完善信息公开审查制度，确保信息公开工作制度化、规范化发展，深入、持续、高效地开展信息公开工作。</w:t>
      </w:r>
    </w:p>
    <w:p w14:paraId="6C0C202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五、其它需要报告的事项</w:t>
      </w:r>
    </w:p>
    <w:p w14:paraId="7E78893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无。</w:t>
      </w:r>
    </w:p>
    <w:p w14:paraId="243A310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sectPr>
      <w:pgSz w:w="11906" w:h="16838"/>
      <w:pgMar w:top="2041" w:right="1474" w:bottom="1984" w:left="1588" w:header="851" w:footer="1587" w:gutter="0"/>
      <w:pgNumType w:fmt="numberInDash"/>
      <w:cols w:space="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9C0541-9CCD-4653-BB18-9C7A71521D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7066071D-B119-402B-BB62-7F7546FA8328}"/>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3" w:fontKey="{3023FF87-0D53-4177-968A-B7B474EE02DC}"/>
  </w:font>
  <w:font w:name="仿宋">
    <w:panose1 w:val="02010609060101010101"/>
    <w:charset w:val="86"/>
    <w:family w:val="modern"/>
    <w:pitch w:val="default"/>
    <w:sig w:usb0="800002BF" w:usb1="38CF7CFA" w:usb2="00000016" w:usb3="00000000" w:csb0="00040001" w:csb1="00000000"/>
    <w:embedRegular r:id="rId4" w:fontKey="{0401F884-512A-49FD-B40F-1711C5792D21}"/>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2NjMwMTUyMGU0MTAxOGI2N2ViOTI2NDdkMmNjYmYifQ=="/>
  </w:docVars>
  <w:rsids>
    <w:rsidRoot w:val="06473DD5"/>
    <w:rsid w:val="000066FF"/>
    <w:rsid w:val="000116B7"/>
    <w:rsid w:val="00091630"/>
    <w:rsid w:val="000A6DE6"/>
    <w:rsid w:val="000C12D5"/>
    <w:rsid w:val="000D6002"/>
    <w:rsid w:val="000E13E9"/>
    <w:rsid w:val="00144561"/>
    <w:rsid w:val="00215046"/>
    <w:rsid w:val="00254399"/>
    <w:rsid w:val="00274C89"/>
    <w:rsid w:val="00291CBA"/>
    <w:rsid w:val="002B796D"/>
    <w:rsid w:val="002E536B"/>
    <w:rsid w:val="002F37B3"/>
    <w:rsid w:val="00350949"/>
    <w:rsid w:val="003F51CF"/>
    <w:rsid w:val="0045427B"/>
    <w:rsid w:val="004D04BD"/>
    <w:rsid w:val="004D6948"/>
    <w:rsid w:val="004F52A1"/>
    <w:rsid w:val="004F70DE"/>
    <w:rsid w:val="00500330"/>
    <w:rsid w:val="005139AD"/>
    <w:rsid w:val="005324A3"/>
    <w:rsid w:val="00591D26"/>
    <w:rsid w:val="005A0122"/>
    <w:rsid w:val="00604CC9"/>
    <w:rsid w:val="006315F7"/>
    <w:rsid w:val="00664714"/>
    <w:rsid w:val="00665BAD"/>
    <w:rsid w:val="00674949"/>
    <w:rsid w:val="0069101C"/>
    <w:rsid w:val="006B1B68"/>
    <w:rsid w:val="00706906"/>
    <w:rsid w:val="00720ABE"/>
    <w:rsid w:val="0087633D"/>
    <w:rsid w:val="009403DC"/>
    <w:rsid w:val="009937B5"/>
    <w:rsid w:val="009B027C"/>
    <w:rsid w:val="009E4384"/>
    <w:rsid w:val="00A416BA"/>
    <w:rsid w:val="00A5361A"/>
    <w:rsid w:val="00A75CD3"/>
    <w:rsid w:val="00A96B5A"/>
    <w:rsid w:val="00AA7060"/>
    <w:rsid w:val="00B412FE"/>
    <w:rsid w:val="00B56502"/>
    <w:rsid w:val="00BA2EF6"/>
    <w:rsid w:val="00BC02BE"/>
    <w:rsid w:val="00C0121C"/>
    <w:rsid w:val="00C24B1D"/>
    <w:rsid w:val="00C40494"/>
    <w:rsid w:val="00C44566"/>
    <w:rsid w:val="00C52FEE"/>
    <w:rsid w:val="00C627DB"/>
    <w:rsid w:val="00CB680A"/>
    <w:rsid w:val="00CE3F66"/>
    <w:rsid w:val="00D13AB2"/>
    <w:rsid w:val="00D15012"/>
    <w:rsid w:val="00D462AA"/>
    <w:rsid w:val="00D53E40"/>
    <w:rsid w:val="00D560F6"/>
    <w:rsid w:val="00D92964"/>
    <w:rsid w:val="00DE52B6"/>
    <w:rsid w:val="00E66099"/>
    <w:rsid w:val="00EB46A0"/>
    <w:rsid w:val="00EF49E2"/>
    <w:rsid w:val="00EF7B85"/>
    <w:rsid w:val="00F4054C"/>
    <w:rsid w:val="00F4204B"/>
    <w:rsid w:val="00F516D3"/>
    <w:rsid w:val="00FE3D8B"/>
    <w:rsid w:val="02EB774C"/>
    <w:rsid w:val="03E30F7F"/>
    <w:rsid w:val="060D0F95"/>
    <w:rsid w:val="06473DD5"/>
    <w:rsid w:val="068B28B0"/>
    <w:rsid w:val="069873E3"/>
    <w:rsid w:val="080223B8"/>
    <w:rsid w:val="083D40AB"/>
    <w:rsid w:val="08BC4B88"/>
    <w:rsid w:val="0AF86192"/>
    <w:rsid w:val="0D444CB5"/>
    <w:rsid w:val="0DC82F97"/>
    <w:rsid w:val="0E3502AF"/>
    <w:rsid w:val="0F71204C"/>
    <w:rsid w:val="0FB35FED"/>
    <w:rsid w:val="0FC57D85"/>
    <w:rsid w:val="0FEA55AD"/>
    <w:rsid w:val="11884760"/>
    <w:rsid w:val="11A074F9"/>
    <w:rsid w:val="11FF2D5F"/>
    <w:rsid w:val="15213D69"/>
    <w:rsid w:val="15986FFE"/>
    <w:rsid w:val="1A442663"/>
    <w:rsid w:val="1AC25798"/>
    <w:rsid w:val="1B7930C6"/>
    <w:rsid w:val="1C5C7D91"/>
    <w:rsid w:val="210C6A10"/>
    <w:rsid w:val="2118703D"/>
    <w:rsid w:val="21552218"/>
    <w:rsid w:val="21857FA4"/>
    <w:rsid w:val="229C3280"/>
    <w:rsid w:val="22A47A11"/>
    <w:rsid w:val="23AE6894"/>
    <w:rsid w:val="252950A3"/>
    <w:rsid w:val="252E7185"/>
    <w:rsid w:val="27341965"/>
    <w:rsid w:val="2A5D55EF"/>
    <w:rsid w:val="2AEA65F8"/>
    <w:rsid w:val="2D0B0DBF"/>
    <w:rsid w:val="2DA90D03"/>
    <w:rsid w:val="2F3F2FA2"/>
    <w:rsid w:val="30A9726C"/>
    <w:rsid w:val="30E90350"/>
    <w:rsid w:val="31905300"/>
    <w:rsid w:val="34221C29"/>
    <w:rsid w:val="36835E6A"/>
    <w:rsid w:val="37583854"/>
    <w:rsid w:val="38503BF5"/>
    <w:rsid w:val="39003169"/>
    <w:rsid w:val="3A4F7367"/>
    <w:rsid w:val="3AE214AE"/>
    <w:rsid w:val="3B5E64E9"/>
    <w:rsid w:val="3B8531F2"/>
    <w:rsid w:val="3CE700D8"/>
    <w:rsid w:val="3D2D6DAD"/>
    <w:rsid w:val="3F18735D"/>
    <w:rsid w:val="40463E1D"/>
    <w:rsid w:val="41962662"/>
    <w:rsid w:val="46AA3ACD"/>
    <w:rsid w:val="47521CA4"/>
    <w:rsid w:val="49AE01DF"/>
    <w:rsid w:val="4A510E87"/>
    <w:rsid w:val="4D5D0D6B"/>
    <w:rsid w:val="4E8C5DAC"/>
    <w:rsid w:val="4F404E77"/>
    <w:rsid w:val="4FFC0D0F"/>
    <w:rsid w:val="50A53119"/>
    <w:rsid w:val="50B92E9E"/>
    <w:rsid w:val="5143724B"/>
    <w:rsid w:val="53E30BC0"/>
    <w:rsid w:val="55402525"/>
    <w:rsid w:val="577F61A3"/>
    <w:rsid w:val="58A85EDA"/>
    <w:rsid w:val="59581289"/>
    <w:rsid w:val="59B71A84"/>
    <w:rsid w:val="59C50161"/>
    <w:rsid w:val="59F1740B"/>
    <w:rsid w:val="5BAA294E"/>
    <w:rsid w:val="5C734107"/>
    <w:rsid w:val="5D6F18CC"/>
    <w:rsid w:val="5D9F4F9A"/>
    <w:rsid w:val="5DA55A09"/>
    <w:rsid w:val="607A7C68"/>
    <w:rsid w:val="608D114A"/>
    <w:rsid w:val="65CC39A5"/>
    <w:rsid w:val="6626029F"/>
    <w:rsid w:val="6AB53B3C"/>
    <w:rsid w:val="6BB6419C"/>
    <w:rsid w:val="6D2C7040"/>
    <w:rsid w:val="6D9211C7"/>
    <w:rsid w:val="6E9E24DB"/>
    <w:rsid w:val="6EF30BEF"/>
    <w:rsid w:val="6F400D79"/>
    <w:rsid w:val="6FCA12D5"/>
    <w:rsid w:val="710A268A"/>
    <w:rsid w:val="71556CC8"/>
    <w:rsid w:val="71AE17C9"/>
    <w:rsid w:val="72754283"/>
    <w:rsid w:val="72E374F3"/>
    <w:rsid w:val="72F4333B"/>
    <w:rsid w:val="74FD4A5E"/>
    <w:rsid w:val="75217C05"/>
    <w:rsid w:val="75442FF2"/>
    <w:rsid w:val="75CE1A4F"/>
    <w:rsid w:val="75E96593"/>
    <w:rsid w:val="75FD2BE9"/>
    <w:rsid w:val="7A337103"/>
    <w:rsid w:val="7A511B1E"/>
    <w:rsid w:val="7A7A5A2A"/>
    <w:rsid w:val="7AF97A75"/>
    <w:rsid w:val="7E7458EF"/>
    <w:rsid w:val="7F6236DD"/>
    <w:rsid w:val="7F6E20C0"/>
    <w:rsid w:val="7F826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te Heading"/>
    <w:basedOn w:val="1"/>
    <w:next w:val="1"/>
    <w:qFormat/>
    <w:uiPriority w:val="0"/>
    <w:pPr>
      <w:jc w:val="center"/>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paragraph" w:styleId="7">
    <w:name w:val="Title"/>
    <w:next w:val="8"/>
    <w:autoRedefine/>
    <w:qFormat/>
    <w:uiPriority w:val="0"/>
    <w:pPr>
      <w:widowControl w:val="0"/>
      <w:spacing w:line="600" w:lineRule="exact"/>
      <w:ind w:left="640" w:leftChars="200" w:firstLine="960" w:firstLineChars="200"/>
      <w:jc w:val="both"/>
      <w:outlineLvl w:val="0"/>
    </w:pPr>
    <w:rPr>
      <w:rFonts w:ascii="Cambria" w:hAnsi="Cambria" w:eastAsia="仿宋_GB2312" w:cs="Times New Roman"/>
      <w:b/>
      <w:bCs/>
      <w:sz w:val="32"/>
      <w:szCs w:val="32"/>
      <w:lang w:val="en-US" w:eastAsia="zh-CN" w:bidi="ar-SA"/>
    </w:rPr>
  </w:style>
  <w:style w:type="paragraph" w:customStyle="1" w:styleId="8">
    <w:name w:val="Body Text Indent1"/>
    <w:autoRedefine/>
    <w:qFormat/>
    <w:uiPriority w:val="99"/>
    <w:pPr>
      <w:widowControl w:val="0"/>
      <w:spacing w:after="120" w:line="600" w:lineRule="exact"/>
      <w:ind w:left="420" w:leftChars="200" w:firstLine="960" w:firstLineChars="200"/>
      <w:jc w:val="both"/>
    </w:pPr>
    <w:rPr>
      <w:rFonts w:ascii="Calibri" w:hAnsi="Calibri" w:eastAsia="仿宋_GB2312" w:cs="Times New Roman"/>
      <w:kern w:val="2"/>
      <w:sz w:val="36"/>
      <w:szCs w:val="24"/>
      <w:lang w:val="en-US" w:eastAsia="zh-CN" w:bidi="ar-SA"/>
    </w:rPr>
  </w:style>
  <w:style w:type="character" w:customStyle="1" w:styleId="11">
    <w:name w:val="页眉 Char"/>
    <w:basedOn w:val="10"/>
    <w:link w:val="5"/>
    <w:qFormat/>
    <w:uiPriority w:val="0"/>
    <w:rPr>
      <w:rFonts w:asciiTheme="minorHAnsi" w:hAnsiTheme="minorHAnsi" w:eastAsiaTheme="minorEastAsia" w:cstheme="minorBidi"/>
      <w:kern w:val="2"/>
      <w:sz w:val="18"/>
      <w:szCs w:val="18"/>
    </w:rPr>
  </w:style>
  <w:style w:type="character" w:customStyle="1" w:styleId="12">
    <w:name w:val="页脚 Char"/>
    <w:basedOn w:val="10"/>
    <w:link w:val="4"/>
    <w:qFormat/>
    <w:uiPriority w:val="0"/>
    <w:rPr>
      <w:rFonts w:asciiTheme="minorHAnsi" w:hAnsiTheme="minorHAnsi" w:eastAsiaTheme="minorEastAsia" w:cstheme="minorBidi"/>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451</Words>
  <Characters>470</Characters>
  <Lines>11</Lines>
  <Paragraphs>3</Paragraphs>
  <TotalTime>39</TotalTime>
  <ScaleCrop>false</ScaleCrop>
  <LinksUpToDate>false</LinksUpToDate>
  <CharactersWithSpaces>470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2022-01-07T07:52:00Z</dcterms:created>
  <dc:creator>阿富富</dc:creator>
  <cp:lastModifiedBy>秦茜茜</cp:lastModifiedBy>
  <dcterms:modified xsi:type="dcterms:W3CDTF">2025-01-20T00:56:10Z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1C59E6F90E284A24AD3B8714D1084004_13</vt:lpwstr>
  </property>
  <property fmtid="{D5CDD505-2E9C-101B-9397-08002B2CF9AE}" pid="4" name="KSOTemplateDocerSaveRecord">
    <vt:lpwstr>eyJoZGlkIjoiZWI2NjMwMTUyMGU0MTAxOGI2N2ViOTI2NDdkMmNjYmYiLCJ1c2VySWQiOiI0NTgyMjQzMzAifQ==</vt:lpwstr>
  </property>
</Properties>
</file>